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2D182">
      <w:pPr>
        <w:keepLines w:val="0"/>
        <w:pageBreakBefore w:val="0"/>
        <w:widowControl/>
        <w:shd w:val="clear"/>
        <w:kinsoku/>
        <w:wordWrap/>
        <w:overflowPunct/>
        <w:topLinePunct w:val="0"/>
        <w:autoSpaceDE/>
        <w:autoSpaceDN/>
        <w:bidi w:val="0"/>
        <w:adjustRightInd/>
        <w:snapToGrid/>
        <w:spacing w:line="580" w:lineRule="exact"/>
        <w:jc w:val="center"/>
        <w:textAlignment w:val="auto"/>
        <w:rPr>
          <w:rFonts w:hint="eastAsia" w:ascii="宋体" w:hAnsi="宋体" w:eastAsia="宋体" w:cs="宋体"/>
          <w:b/>
          <w:bCs/>
          <w:kern w:val="0"/>
          <w:sz w:val="44"/>
          <w:szCs w:val="44"/>
          <w:highlight w:val="none"/>
          <w:lang w:eastAsia="en-US"/>
        </w:rPr>
      </w:pPr>
      <w:r>
        <w:rPr>
          <w:rFonts w:hint="eastAsia" w:ascii="宋体" w:hAnsi="宋体" w:eastAsia="宋体" w:cs="宋体"/>
          <w:b/>
          <w:bCs/>
          <w:kern w:val="0"/>
          <w:sz w:val="44"/>
          <w:szCs w:val="44"/>
          <w:highlight w:val="none"/>
          <w:lang w:eastAsia="en-US"/>
        </w:rPr>
        <w:t>开评标区监控系统AI智能化升级改造项目</w:t>
      </w:r>
    </w:p>
    <w:p w14:paraId="13E48863">
      <w:pPr>
        <w:keepLines w:val="0"/>
        <w:pageBreakBefore w:val="0"/>
        <w:widowControl/>
        <w:shd w:val="clear"/>
        <w:kinsoku/>
        <w:wordWrap/>
        <w:overflowPunct/>
        <w:topLinePunct w:val="0"/>
        <w:autoSpaceDE/>
        <w:autoSpaceDN/>
        <w:bidi w:val="0"/>
        <w:adjustRightInd/>
        <w:snapToGrid/>
        <w:spacing w:line="580" w:lineRule="exact"/>
        <w:ind w:firstLine="420" w:firstLineChars="0"/>
        <w:jc w:val="center"/>
        <w:textAlignment w:val="auto"/>
        <w:rPr>
          <w:rFonts w:hint="default" w:ascii="宋体" w:hAnsi="宋体" w:eastAsia="宋体" w:cs="宋体"/>
          <w:b/>
          <w:bCs/>
          <w:kern w:val="0"/>
          <w:sz w:val="44"/>
          <w:szCs w:val="44"/>
          <w:highlight w:val="none"/>
          <w:lang w:val="en-US" w:eastAsia="zh-CN"/>
        </w:rPr>
      </w:pPr>
      <w:r>
        <w:rPr>
          <w:rFonts w:hint="eastAsia" w:ascii="宋体" w:hAnsi="宋体" w:eastAsia="宋体" w:cs="宋体"/>
          <w:b/>
          <w:bCs/>
          <w:kern w:val="0"/>
          <w:sz w:val="44"/>
          <w:szCs w:val="44"/>
          <w:highlight w:val="none"/>
          <w:lang w:val="en-US" w:eastAsia="zh-CN"/>
        </w:rPr>
        <w:t>基本要求</w:t>
      </w:r>
    </w:p>
    <w:p w14:paraId="7A7C28FC">
      <w:pPr>
        <w:keepLines w:val="0"/>
        <w:pageBreakBefore w:val="0"/>
        <w:widowControl/>
        <w:numPr>
          <w:ilvl w:val="0"/>
          <w:numId w:val="1"/>
        </w:numPr>
        <w:shd w:val="clear"/>
        <w:kinsoku/>
        <w:wordWrap/>
        <w:overflowPunct/>
        <w:topLinePunct w:val="0"/>
        <w:autoSpaceDE/>
        <w:autoSpaceDN/>
        <w:bidi w:val="0"/>
        <w:adjustRightInd/>
        <w:snapToGrid/>
        <w:spacing w:line="580" w:lineRule="exact"/>
        <w:ind w:left="420" w:leftChars="0"/>
        <w:jc w:val="left"/>
        <w:textAlignment w:val="auto"/>
        <w:rPr>
          <w:rFonts w:hint="eastAsia" w:ascii="黑体" w:hAnsi="黑体" w:eastAsia="黑体" w:cs="黑体"/>
          <w:kern w:val="0"/>
          <w:sz w:val="32"/>
          <w:szCs w:val="32"/>
          <w:highlight w:val="none"/>
          <w:lang w:val="en-US" w:eastAsia="zh-CN"/>
        </w:rPr>
      </w:pPr>
      <w:r>
        <w:rPr>
          <w:rFonts w:hint="eastAsia" w:ascii="黑体" w:hAnsi="黑体" w:eastAsia="黑体" w:cs="黑体"/>
          <w:kern w:val="0"/>
          <w:sz w:val="32"/>
          <w:szCs w:val="32"/>
          <w:highlight w:val="none"/>
          <w:lang w:val="en-US" w:eastAsia="zh-CN"/>
        </w:rPr>
        <w:t>项目基本情况</w:t>
      </w:r>
    </w:p>
    <w:p w14:paraId="68F2DB39">
      <w:pPr>
        <w:keepLines w:val="0"/>
        <w:pageBreakBefore w:val="0"/>
        <w:widowControl/>
        <w:shd w:val="clear"/>
        <w:kinsoku/>
        <w:wordWrap/>
        <w:overflowPunct/>
        <w:topLinePunct w:val="0"/>
        <w:autoSpaceDE/>
        <w:autoSpaceDN/>
        <w:bidi w:val="0"/>
        <w:adjustRightInd/>
        <w:snapToGrid/>
        <w:spacing w:line="580" w:lineRule="exact"/>
        <w:ind w:firstLine="420" w:firstLineChars="0"/>
        <w:jc w:val="left"/>
        <w:textAlignment w:val="auto"/>
        <w:rPr>
          <w:rFonts w:hint="eastAsia" w:ascii="楷体" w:hAnsi="楷体" w:eastAsia="楷体" w:cs="楷体"/>
          <w:kern w:val="0"/>
          <w:sz w:val="32"/>
          <w:szCs w:val="32"/>
          <w:highlight w:val="none"/>
          <w:lang w:val="en-US" w:eastAsia="zh-CN"/>
        </w:rPr>
      </w:pPr>
      <w:r>
        <w:rPr>
          <w:rFonts w:hint="eastAsia" w:ascii="楷体" w:hAnsi="楷体" w:eastAsia="楷体" w:cs="楷体"/>
          <w:kern w:val="0"/>
          <w:sz w:val="32"/>
          <w:szCs w:val="32"/>
          <w:highlight w:val="none"/>
          <w:lang w:val="en-US" w:eastAsia="zh-CN"/>
        </w:rPr>
        <w:t>（一）项目名称</w:t>
      </w:r>
    </w:p>
    <w:p w14:paraId="2814D531">
      <w:pPr>
        <w:keepLines w:val="0"/>
        <w:pageBreakBefore w:val="0"/>
        <w:widowControl/>
        <w:shd w:val="clear"/>
        <w:kinsoku/>
        <w:wordWrap/>
        <w:overflowPunct/>
        <w:topLinePunct w:val="0"/>
        <w:autoSpaceDE/>
        <w:autoSpaceDN/>
        <w:bidi w:val="0"/>
        <w:adjustRightInd/>
        <w:snapToGrid/>
        <w:spacing w:line="580" w:lineRule="exact"/>
        <w:ind w:firstLine="420" w:firstLineChars="0"/>
        <w:jc w:val="left"/>
        <w:textAlignment w:val="auto"/>
        <w:rPr>
          <w:rFonts w:hint="eastAsia" w:ascii="仿宋" w:hAnsi="仿宋" w:eastAsia="仿宋" w:cs="仿宋"/>
          <w:kern w:val="0"/>
          <w:sz w:val="32"/>
          <w:szCs w:val="32"/>
          <w:highlight w:val="none"/>
          <w:lang w:eastAsia="en-US"/>
        </w:rPr>
      </w:pPr>
      <w:r>
        <w:rPr>
          <w:rFonts w:hint="eastAsia" w:ascii="仿宋" w:hAnsi="仿宋" w:eastAsia="仿宋" w:cs="仿宋"/>
          <w:kern w:val="0"/>
          <w:sz w:val="32"/>
          <w:szCs w:val="32"/>
          <w:highlight w:val="none"/>
          <w:lang w:eastAsia="en-US"/>
        </w:rPr>
        <w:t>福州市公共资源交易服务中心开评标区监控系统AI智能化升级改造项目</w:t>
      </w:r>
    </w:p>
    <w:p w14:paraId="59825D37">
      <w:pPr>
        <w:keepLines w:val="0"/>
        <w:pageBreakBefore w:val="0"/>
        <w:widowControl/>
        <w:shd w:val="clear"/>
        <w:kinsoku/>
        <w:wordWrap/>
        <w:overflowPunct/>
        <w:topLinePunct w:val="0"/>
        <w:autoSpaceDE/>
        <w:autoSpaceDN/>
        <w:bidi w:val="0"/>
        <w:adjustRightInd/>
        <w:snapToGrid/>
        <w:spacing w:line="580" w:lineRule="exact"/>
        <w:ind w:firstLine="420" w:firstLineChars="0"/>
        <w:jc w:val="left"/>
        <w:textAlignment w:val="auto"/>
        <w:rPr>
          <w:rFonts w:hint="default" w:ascii="仿宋" w:hAnsi="仿宋" w:eastAsia="仿宋" w:cs="仿宋"/>
          <w:b w:val="0"/>
          <w:bCs w:val="0"/>
          <w:i w:val="0"/>
          <w:iCs w:val="0"/>
          <w:caps w:val="0"/>
          <w:color w:val="333333"/>
          <w:spacing w:val="0"/>
          <w:sz w:val="31"/>
          <w:szCs w:val="31"/>
          <w:shd w:val="clear" w:fill="FFFFFF"/>
          <w:lang w:val="en-US" w:eastAsia="zh-CN"/>
        </w:rPr>
      </w:pPr>
      <w:r>
        <w:rPr>
          <w:rFonts w:hint="eastAsia" w:ascii="楷体" w:hAnsi="楷体" w:eastAsia="楷体" w:cs="楷体"/>
          <w:kern w:val="0"/>
          <w:sz w:val="32"/>
          <w:szCs w:val="32"/>
          <w:highlight w:val="none"/>
          <w:lang w:val="en-US" w:eastAsia="zh-CN"/>
        </w:rPr>
        <w:t>（二）项目背景</w:t>
      </w:r>
    </w:p>
    <w:p w14:paraId="2171D8F1">
      <w:pPr>
        <w:keepLines w:val="0"/>
        <w:pageBreakBefore w:val="0"/>
        <w:widowControl/>
        <w:shd w:val="clear"/>
        <w:kinsoku/>
        <w:wordWrap/>
        <w:overflowPunct/>
        <w:topLinePunct w:val="0"/>
        <w:autoSpaceDE/>
        <w:autoSpaceDN/>
        <w:bidi w:val="0"/>
        <w:adjustRightInd/>
        <w:snapToGrid/>
        <w:spacing w:line="580" w:lineRule="exact"/>
        <w:ind w:firstLine="420" w:firstLineChars="0"/>
        <w:jc w:val="left"/>
        <w:textAlignment w:val="auto"/>
        <w:rPr>
          <w:rFonts w:hint="eastAsia" w:ascii="仿宋" w:hAnsi="仿宋" w:eastAsia="仿宋" w:cs="仿宋"/>
          <w:kern w:val="0"/>
          <w:sz w:val="32"/>
          <w:szCs w:val="32"/>
          <w:highlight w:val="none"/>
          <w:lang w:eastAsia="en-US"/>
        </w:rPr>
      </w:pPr>
      <w:r>
        <w:rPr>
          <w:rFonts w:hint="eastAsia" w:ascii="仿宋" w:hAnsi="仿宋" w:eastAsia="仿宋" w:cs="仿宋"/>
          <w:kern w:val="0"/>
          <w:sz w:val="32"/>
          <w:szCs w:val="32"/>
          <w:highlight w:val="none"/>
          <w:lang w:eastAsia="en-US"/>
        </w:rPr>
        <w:t>《国家发展改革委等部门关于加快招标投标领域人工智能推广应用的实施意见》（发改法规〔2026〕195号）对见证管理提出明确要求：构建"智能研判—动态干预—链上存证"的闭环见证体系，对招标投标交易各环节进行无感化数字见证，全面、准确记录交易全过程；强化异常行为分析预警，加强问题线索报告，为有关部门执纪执法提供支撑。</w:t>
      </w:r>
    </w:p>
    <w:p w14:paraId="7DB21C91">
      <w:pPr>
        <w:keepLines w:val="0"/>
        <w:pageBreakBefore w:val="0"/>
        <w:widowControl/>
        <w:shd w:val="clear"/>
        <w:kinsoku/>
        <w:wordWrap/>
        <w:overflowPunct/>
        <w:topLinePunct w:val="0"/>
        <w:autoSpaceDE/>
        <w:autoSpaceDN/>
        <w:bidi w:val="0"/>
        <w:adjustRightInd/>
        <w:snapToGrid/>
        <w:spacing w:line="580" w:lineRule="exact"/>
        <w:ind w:firstLine="420" w:firstLineChars="0"/>
        <w:jc w:val="left"/>
        <w:textAlignment w:val="auto"/>
        <w:rPr>
          <w:rFonts w:hint="eastAsia" w:ascii="仿宋" w:hAnsi="仿宋" w:eastAsia="仿宋" w:cs="仿宋"/>
          <w:kern w:val="0"/>
          <w:sz w:val="32"/>
          <w:szCs w:val="32"/>
          <w:highlight w:val="none"/>
          <w:lang w:eastAsia="en-US"/>
        </w:rPr>
      </w:pPr>
      <w:r>
        <w:rPr>
          <w:rFonts w:hint="eastAsia" w:ascii="仿宋" w:hAnsi="仿宋" w:eastAsia="仿宋" w:cs="仿宋"/>
          <w:kern w:val="0"/>
          <w:sz w:val="32"/>
          <w:szCs w:val="32"/>
          <w:highlight w:val="none"/>
          <w:lang w:eastAsia="en-US"/>
        </w:rPr>
        <w:t>《公共资源交易中心招标投标现场管理暂行办法》（国家发展改革委等7部门令2026年第43号）已公布，将自2027年1月1日起施行。其中第三条规定："交易中心作为公共资源交易平台的主要运行服务机构，依法履行招标投标服务保障、全过程记录、异常行为提醒、违法线索报告等现场管理职责"，将异常行为提醒明确列为交易中心应当履行的现场管理职责。</w:t>
      </w:r>
    </w:p>
    <w:p w14:paraId="11BC18A3">
      <w:pPr>
        <w:keepLines w:val="0"/>
        <w:pageBreakBefore w:val="0"/>
        <w:widowControl/>
        <w:numPr>
          <w:ilvl w:val="0"/>
          <w:numId w:val="0"/>
        </w:numPr>
        <w:shd w:val="clear"/>
        <w:kinsoku/>
        <w:wordWrap/>
        <w:overflowPunct/>
        <w:topLinePunct w:val="0"/>
        <w:autoSpaceDE/>
        <w:autoSpaceDN/>
        <w:bidi w:val="0"/>
        <w:adjustRightInd/>
        <w:snapToGrid/>
        <w:spacing w:line="580" w:lineRule="exact"/>
        <w:ind w:firstLine="420" w:firstLineChars="0"/>
        <w:jc w:val="left"/>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lang w:val="en-US" w:eastAsia="zh-CN" w:bidi="ar-SA"/>
        </w:rPr>
        <w:t>（</w:t>
      </w:r>
      <w:r>
        <w:rPr>
          <w:rFonts w:hint="eastAsia" w:ascii="楷体" w:hAnsi="楷体" w:eastAsia="楷体" w:cs="楷体"/>
          <w:kern w:val="0"/>
          <w:sz w:val="32"/>
          <w:szCs w:val="32"/>
          <w:highlight w:val="none"/>
          <w:lang w:val="en-US" w:eastAsia="zh-CN"/>
        </w:rPr>
        <w:t>三）建设目标</w:t>
      </w:r>
    </w:p>
    <w:p w14:paraId="49C50E50">
      <w:pPr>
        <w:pStyle w:val="2"/>
        <w:keepLines w:val="0"/>
        <w:pageBreakBefore w:val="0"/>
        <w:widowControl/>
        <w:shd w:val="clear"/>
        <w:kinsoku/>
        <w:wordWrap/>
        <w:overflowPunct/>
        <w:topLinePunct w:val="0"/>
        <w:autoSpaceDE/>
        <w:autoSpaceDN/>
        <w:bidi w:val="0"/>
        <w:adjustRightInd/>
        <w:snapToGrid/>
        <w:spacing w:before="0" w:line="580" w:lineRule="exact"/>
        <w:ind w:firstLine="645"/>
        <w:textAlignment w:val="auto"/>
        <w:outlineLvl w:val="3"/>
        <w:rPr>
          <w:highlight w:val="none"/>
        </w:rPr>
      </w:pPr>
      <w:r>
        <w:rPr>
          <w:rFonts w:ascii="仿宋" w:hAnsi="仿宋" w:eastAsia="仿宋" w:cs="仿宋"/>
          <w:sz w:val="32"/>
          <w:szCs w:val="32"/>
          <w:highlight w:val="none"/>
        </w:rPr>
        <w:t>1.</w:t>
      </w:r>
      <w:r>
        <w:rPr>
          <w:rFonts w:hint="eastAsia" w:ascii="仿宋" w:hAnsi="仿宋" w:eastAsia="仿宋" w:cs="仿宋"/>
          <w:sz w:val="32"/>
          <w:szCs w:val="32"/>
          <w:highlight w:val="none"/>
        </w:rPr>
        <w:t>履行异常行为提醒职责</w:t>
      </w:r>
    </w:p>
    <w:p w14:paraId="0D270DDA">
      <w:pPr>
        <w:ind w:firstLine="640" w:firstLineChars="200"/>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lang w:eastAsia="en-US"/>
        </w:rPr>
        <w:t>利用行为识别</w:t>
      </w:r>
      <w:r>
        <w:rPr>
          <w:rFonts w:hint="eastAsia" w:ascii="仿宋" w:hAnsi="仿宋" w:eastAsia="仿宋" w:cs="仿宋"/>
          <w:kern w:val="0"/>
          <w:sz w:val="32"/>
          <w:szCs w:val="32"/>
          <w:highlight w:val="none"/>
          <w:lang w:val="en-US" w:eastAsia="zh-CN"/>
        </w:rPr>
        <w:t>算法</w:t>
      </w:r>
      <w:r>
        <w:rPr>
          <w:rFonts w:hint="eastAsia" w:ascii="仿宋" w:hAnsi="仿宋" w:eastAsia="仿宋" w:cs="仿宋"/>
          <w:kern w:val="0"/>
          <w:sz w:val="32"/>
          <w:szCs w:val="32"/>
          <w:highlight w:val="none"/>
          <w:lang w:eastAsia="en-US"/>
        </w:rPr>
        <w:t>模型，对评标区视频监控中的人员行为进行智能识别并生成风险预警，辅助交易中心相关工作人员及时核实、提醒、记录，降低异常行为持续或扩大的风险，为规范评标秩序提供支撑，履行交易中心对评标过程中异常行为提醒的职责</w:t>
      </w:r>
      <w:r>
        <w:rPr>
          <w:rFonts w:hint="eastAsia" w:ascii="仿宋" w:hAnsi="仿宋" w:eastAsia="仿宋" w:cs="仿宋"/>
          <w:kern w:val="0"/>
          <w:sz w:val="32"/>
          <w:szCs w:val="32"/>
          <w:highlight w:val="none"/>
          <w:lang w:eastAsia="zh-CN"/>
        </w:rPr>
        <w:t>。</w:t>
      </w:r>
    </w:p>
    <w:p w14:paraId="43856E98">
      <w:pPr>
        <w:ind w:firstLine="643" w:firstLineChars="200"/>
        <w:rPr>
          <w:rFonts w:hint="eastAsia" w:ascii="仿宋" w:hAnsi="仿宋" w:eastAsia="仿宋" w:cs="仿宋"/>
          <w:b/>
          <w:bCs/>
          <w:kern w:val="2"/>
          <w:sz w:val="32"/>
          <w:szCs w:val="32"/>
          <w:highlight w:val="none"/>
          <w:lang w:val="en-US" w:eastAsia="zh-CN" w:bidi="ar-SA"/>
        </w:rPr>
      </w:pPr>
      <w:r>
        <w:rPr>
          <w:rFonts w:hint="eastAsia" w:ascii="仿宋" w:hAnsi="仿宋" w:eastAsia="仿宋" w:cs="仿宋"/>
          <w:b/>
          <w:bCs/>
          <w:kern w:val="2"/>
          <w:sz w:val="32"/>
          <w:szCs w:val="32"/>
          <w:highlight w:val="none"/>
          <w:lang w:val="en-US" w:eastAsia="zh-CN" w:bidi="ar-SA"/>
        </w:rPr>
        <w:t>2.为招投标行政监督决策提供数据支撑</w:t>
      </w:r>
    </w:p>
    <w:p w14:paraId="0525E488">
      <w:pPr>
        <w:ind w:firstLine="640" w:firstLineChars="200"/>
        <w:rPr>
          <w:rFonts w:hint="eastAsia" w:ascii="仿宋" w:hAnsi="仿宋" w:eastAsia="仿宋" w:cs="仿宋"/>
          <w:kern w:val="0"/>
          <w:sz w:val="32"/>
          <w:szCs w:val="32"/>
          <w:highlight w:val="none"/>
          <w:lang w:eastAsia="en-US"/>
        </w:rPr>
      </w:pPr>
      <w:r>
        <w:rPr>
          <w:rFonts w:hint="eastAsia" w:ascii="仿宋" w:hAnsi="仿宋" w:eastAsia="仿宋" w:cs="仿宋"/>
          <w:kern w:val="0"/>
          <w:sz w:val="32"/>
          <w:szCs w:val="32"/>
          <w:highlight w:val="none"/>
          <w:lang w:eastAsia="en-US"/>
        </w:rPr>
        <w:t>依托AI视频分析技术，对评标区异常行为进行智能识别、记录和统计，形成异常行为数据档案。为风险研判、监督检查以及违法线索核查提供数据支撑，提升行政监督精准化、数字化水平。</w:t>
      </w:r>
    </w:p>
    <w:p w14:paraId="1466E5EF">
      <w:pPr>
        <w:ind w:firstLine="420" w:firstLineChars="0"/>
        <w:rPr>
          <w:rFonts w:hint="default" w:ascii="黑体" w:hAnsi="黑体" w:eastAsia="黑体" w:cs="黑体"/>
          <w:kern w:val="0"/>
          <w:sz w:val="32"/>
          <w:szCs w:val="32"/>
          <w:highlight w:val="none"/>
          <w:lang w:val="en-US" w:eastAsia="zh-CN"/>
        </w:rPr>
      </w:pPr>
      <w:r>
        <w:rPr>
          <w:rFonts w:hint="eastAsia" w:ascii="黑体" w:hAnsi="黑体" w:eastAsia="黑体" w:cs="黑体"/>
          <w:kern w:val="0"/>
          <w:sz w:val="32"/>
          <w:szCs w:val="32"/>
          <w:highlight w:val="none"/>
          <w:lang w:val="en-US" w:eastAsia="zh-CN"/>
        </w:rPr>
        <w:t>二、基本功能模块要求</w:t>
      </w:r>
    </w:p>
    <w:p w14:paraId="1DF79CBE">
      <w:pPr>
        <w:keepLines w:val="0"/>
        <w:pageBreakBefore w:val="0"/>
        <w:widowControl/>
        <w:shd w:val="clear"/>
        <w:kinsoku/>
        <w:wordWrap/>
        <w:overflowPunct/>
        <w:topLinePunct w:val="0"/>
        <w:autoSpaceDE/>
        <w:autoSpaceDN/>
        <w:bidi w:val="0"/>
        <w:adjustRightInd/>
        <w:snapToGrid/>
        <w:spacing w:line="580" w:lineRule="exact"/>
        <w:ind w:firstLine="420" w:firstLineChars="0"/>
        <w:jc w:val="left"/>
        <w:textAlignment w:val="auto"/>
        <w:rPr>
          <w:rFonts w:hint="eastAsia" w:ascii="楷体" w:hAnsi="楷体" w:eastAsia="楷体" w:cs="楷体"/>
          <w:kern w:val="0"/>
          <w:sz w:val="32"/>
          <w:szCs w:val="32"/>
          <w:highlight w:val="none"/>
          <w:lang w:val="en-US" w:eastAsia="zh-CN"/>
        </w:rPr>
      </w:pPr>
      <w:r>
        <w:rPr>
          <w:rFonts w:hint="eastAsia" w:ascii="仿宋" w:hAnsi="仿宋" w:eastAsia="仿宋" w:cs="仿宋"/>
          <w:b/>
          <w:bCs/>
          <w:kern w:val="2"/>
          <w:sz w:val="32"/>
          <w:szCs w:val="32"/>
          <w:highlight w:val="none"/>
          <w:lang w:val="en-US" w:eastAsia="zh-CN" w:bidi="ar-SA"/>
        </w:rPr>
        <w:t>（一）</w:t>
      </w:r>
      <w:r>
        <w:rPr>
          <w:rFonts w:hint="eastAsia" w:ascii="楷体" w:hAnsi="楷体" w:eastAsia="楷体" w:cs="楷体"/>
          <w:kern w:val="0"/>
          <w:sz w:val="32"/>
          <w:szCs w:val="32"/>
          <w:highlight w:val="none"/>
          <w:lang w:val="en-US" w:eastAsia="zh-CN"/>
        </w:rPr>
        <w:t>异常行为分析</w:t>
      </w:r>
    </w:p>
    <w:p w14:paraId="02C540D6">
      <w:pPr>
        <w:keepLines w:val="0"/>
        <w:pageBreakBefore w:val="0"/>
        <w:widowControl/>
        <w:shd w:val="clear"/>
        <w:kinsoku/>
        <w:wordWrap/>
        <w:overflowPunct/>
        <w:topLinePunct w:val="0"/>
        <w:autoSpaceDE/>
        <w:autoSpaceDN/>
        <w:bidi w:val="0"/>
        <w:adjustRightInd/>
        <w:snapToGrid/>
        <w:spacing w:line="580" w:lineRule="exact"/>
        <w:ind w:left="420" w:leftChars="0" w:firstLine="420" w:firstLineChars="0"/>
        <w:jc w:val="left"/>
        <w:textAlignment w:val="auto"/>
        <w:rPr>
          <w:rFonts w:hint="eastAsia" w:ascii="楷体" w:hAnsi="楷体" w:eastAsia="楷体" w:cs="楷体"/>
          <w:kern w:val="0"/>
          <w:sz w:val="32"/>
          <w:szCs w:val="32"/>
          <w:highlight w:val="none"/>
          <w:lang w:val="en-US" w:eastAsia="zh-CN"/>
        </w:rPr>
      </w:pPr>
      <w:r>
        <w:rPr>
          <w:rFonts w:hint="eastAsia" w:ascii="楷体" w:hAnsi="楷体" w:eastAsia="楷体" w:cs="楷体"/>
          <w:kern w:val="0"/>
          <w:sz w:val="32"/>
          <w:szCs w:val="32"/>
          <w:highlight w:val="none"/>
          <w:lang w:val="en-US" w:eastAsia="zh-CN"/>
        </w:rPr>
        <w:t>包括但不限于如下场景的异常行为检测：</w:t>
      </w:r>
    </w:p>
    <w:tbl>
      <w:tblPr>
        <w:tblStyle w:val="4"/>
        <w:tblW w:w="0" w:type="auto"/>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3106"/>
        <w:gridCol w:w="4511"/>
      </w:tblGrid>
      <w:tr w14:paraId="24F6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14:paraId="7E9A2768">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序号</w:t>
            </w:r>
          </w:p>
        </w:tc>
        <w:tc>
          <w:tcPr>
            <w:tcW w:w="3106" w:type="dxa"/>
          </w:tcPr>
          <w:p w14:paraId="501DAFFC">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异常行为</w:t>
            </w:r>
          </w:p>
        </w:tc>
        <w:tc>
          <w:tcPr>
            <w:tcW w:w="4511" w:type="dxa"/>
          </w:tcPr>
          <w:p w14:paraId="1478C672">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识别场景</w:t>
            </w:r>
          </w:p>
        </w:tc>
      </w:tr>
      <w:tr w14:paraId="3522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14:paraId="5A07B3B3">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1</w:t>
            </w:r>
          </w:p>
        </w:tc>
        <w:tc>
          <w:tcPr>
            <w:tcW w:w="3106" w:type="dxa"/>
          </w:tcPr>
          <w:p w14:paraId="411C8DB8">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评标区多人预警</w:t>
            </w:r>
          </w:p>
        </w:tc>
        <w:tc>
          <w:tcPr>
            <w:tcW w:w="4511" w:type="dxa"/>
          </w:tcPr>
          <w:p w14:paraId="063AA117">
            <w:pPr>
              <w:keepLines w:val="0"/>
              <w:pageBreakBefore w:val="0"/>
              <w:widowControl/>
              <w:kinsoku/>
              <w:wordWrap/>
              <w:overflowPunct/>
              <w:topLinePunct w:val="0"/>
              <w:autoSpaceDE/>
              <w:autoSpaceDN/>
              <w:bidi w:val="0"/>
              <w:adjustRightInd/>
              <w:snapToGrid/>
              <w:spacing w:line="580" w:lineRule="exact"/>
              <w:jc w:val="left"/>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评标区内出现多人聚集时，</w:t>
            </w:r>
            <w:r>
              <w:rPr>
                <w:rFonts w:hint="eastAsia" w:ascii="仿宋" w:hAnsi="仿宋" w:eastAsia="仿宋" w:cs="仿宋"/>
                <w:kern w:val="0"/>
                <w:sz w:val="32"/>
                <w:szCs w:val="32"/>
                <w:highlight w:val="none"/>
                <w:lang w:val="en-US" w:eastAsia="en-US"/>
              </w:rPr>
              <w:t>支持对画面内人员做身份识别</w:t>
            </w:r>
            <w:r>
              <w:rPr>
                <w:rFonts w:hint="eastAsia" w:ascii="仿宋" w:hAnsi="仿宋" w:eastAsia="仿宋" w:cs="仿宋"/>
                <w:kern w:val="0"/>
                <w:sz w:val="32"/>
                <w:szCs w:val="32"/>
                <w:highlight w:val="none"/>
                <w:lang w:val="en-US" w:eastAsia="zh-CN"/>
              </w:rPr>
              <w:t>，区分</w:t>
            </w:r>
            <w:r>
              <w:rPr>
                <w:rFonts w:hint="eastAsia" w:ascii="仿宋" w:hAnsi="仿宋" w:eastAsia="仿宋" w:cs="仿宋"/>
                <w:kern w:val="0"/>
                <w:sz w:val="32"/>
                <w:szCs w:val="32"/>
                <w:highlight w:val="none"/>
                <w:lang w:val="en-US" w:eastAsia="en-US"/>
              </w:rPr>
              <w:t>专家与专</w:t>
            </w:r>
            <w:bookmarkStart w:id="0" w:name="_GoBack"/>
            <w:bookmarkEnd w:id="0"/>
            <w:r>
              <w:rPr>
                <w:rFonts w:hint="eastAsia" w:ascii="仿宋" w:hAnsi="仿宋" w:eastAsia="仿宋" w:cs="仿宋"/>
                <w:kern w:val="0"/>
                <w:sz w:val="32"/>
                <w:szCs w:val="32"/>
                <w:highlight w:val="none"/>
                <w:lang w:val="en-US" w:eastAsia="en-US"/>
              </w:rPr>
              <w:t>家、代理与代理、专家与代理等不同组合的聚集场景</w:t>
            </w:r>
            <w:r>
              <w:rPr>
                <w:rFonts w:hint="eastAsia" w:ascii="仿宋" w:hAnsi="仿宋" w:eastAsia="仿宋" w:cs="仿宋"/>
                <w:kern w:val="0"/>
                <w:sz w:val="32"/>
                <w:szCs w:val="32"/>
                <w:highlight w:val="none"/>
                <w:lang w:val="en-US" w:eastAsia="zh-CN"/>
              </w:rPr>
              <w:t>。</w:t>
            </w:r>
          </w:p>
        </w:tc>
      </w:tr>
      <w:tr w14:paraId="3BBD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14:paraId="14B3D481">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2</w:t>
            </w:r>
          </w:p>
        </w:tc>
        <w:tc>
          <w:tcPr>
            <w:tcW w:w="3106" w:type="dxa"/>
          </w:tcPr>
          <w:p w14:paraId="3EDF3F9E">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评标专家离席预警</w:t>
            </w:r>
          </w:p>
        </w:tc>
        <w:tc>
          <w:tcPr>
            <w:tcW w:w="4511" w:type="dxa"/>
          </w:tcPr>
          <w:p w14:paraId="07AEA53D">
            <w:pPr>
              <w:keepLines w:val="0"/>
              <w:pageBreakBefore w:val="0"/>
              <w:widowControl/>
              <w:kinsoku/>
              <w:wordWrap/>
              <w:overflowPunct/>
              <w:topLinePunct w:val="0"/>
              <w:autoSpaceDE/>
              <w:autoSpaceDN/>
              <w:bidi w:val="0"/>
              <w:adjustRightInd/>
              <w:snapToGrid/>
              <w:spacing w:line="580" w:lineRule="exact"/>
              <w:jc w:val="left"/>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当识别专家离开评标室（或离开评标席位），且持续时长超过配置阈值时自动触发预警，输出告警信息并记录离席起止时间。</w:t>
            </w:r>
          </w:p>
        </w:tc>
      </w:tr>
      <w:tr w14:paraId="6900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14:paraId="6F5DFEDC">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3</w:t>
            </w:r>
          </w:p>
        </w:tc>
        <w:tc>
          <w:tcPr>
            <w:tcW w:w="3106" w:type="dxa"/>
          </w:tcPr>
          <w:p w14:paraId="65B1920B">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手机使用行为预警</w:t>
            </w:r>
          </w:p>
        </w:tc>
        <w:tc>
          <w:tcPr>
            <w:tcW w:w="4511" w:type="dxa"/>
          </w:tcPr>
          <w:p w14:paraId="0F3DB727">
            <w:pPr>
              <w:keepLines w:val="0"/>
              <w:pageBreakBefore w:val="0"/>
              <w:widowControl/>
              <w:kinsoku/>
              <w:wordWrap/>
              <w:overflowPunct/>
              <w:topLinePunct w:val="0"/>
              <w:autoSpaceDE/>
              <w:autoSpaceDN/>
              <w:bidi w:val="0"/>
              <w:adjustRightInd/>
              <w:snapToGrid/>
              <w:spacing w:line="580" w:lineRule="exact"/>
              <w:jc w:val="left"/>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对评标区域做画面检测，识别手机物体特征；检测到手持、使用手机行为即触发告警，抓拍现场画面。</w:t>
            </w:r>
          </w:p>
        </w:tc>
      </w:tr>
      <w:tr w14:paraId="6604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14:paraId="2D51B783">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4</w:t>
            </w:r>
          </w:p>
        </w:tc>
        <w:tc>
          <w:tcPr>
            <w:tcW w:w="3106" w:type="dxa"/>
          </w:tcPr>
          <w:p w14:paraId="040DE2D9">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围堵专家预警</w:t>
            </w:r>
          </w:p>
        </w:tc>
        <w:tc>
          <w:tcPr>
            <w:tcW w:w="4511" w:type="dxa"/>
          </w:tcPr>
          <w:p w14:paraId="76A2BAEA">
            <w:pPr>
              <w:keepLines w:val="0"/>
              <w:pageBreakBefore w:val="0"/>
              <w:widowControl/>
              <w:kinsoku/>
              <w:wordWrap/>
              <w:overflowPunct/>
              <w:topLinePunct w:val="0"/>
              <w:autoSpaceDE/>
              <w:autoSpaceDN/>
              <w:bidi w:val="0"/>
              <w:adjustRightInd/>
              <w:snapToGrid/>
              <w:spacing w:line="580" w:lineRule="exact"/>
              <w:jc w:val="left"/>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评标区外的评标专家活动区域，通过视频分析检测到人员聚集且聚集人员中出现评标专家与代理人员时触发预警。</w:t>
            </w:r>
          </w:p>
        </w:tc>
      </w:tr>
      <w:tr w14:paraId="1F44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14:paraId="2A52D534">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5</w:t>
            </w:r>
          </w:p>
        </w:tc>
        <w:tc>
          <w:tcPr>
            <w:tcW w:w="3106" w:type="dxa"/>
          </w:tcPr>
          <w:p w14:paraId="1A874971">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专家串门预警</w:t>
            </w:r>
          </w:p>
        </w:tc>
        <w:tc>
          <w:tcPr>
            <w:tcW w:w="4511" w:type="dxa"/>
          </w:tcPr>
          <w:p w14:paraId="593D9079">
            <w:pPr>
              <w:keepLines w:val="0"/>
              <w:pageBreakBefore w:val="0"/>
              <w:widowControl/>
              <w:kinsoku/>
              <w:wordWrap/>
              <w:overflowPunct/>
              <w:topLinePunct w:val="0"/>
              <w:autoSpaceDE/>
              <w:autoSpaceDN/>
              <w:bidi w:val="0"/>
              <w:adjustRightInd/>
              <w:snapToGrid/>
              <w:spacing w:line="580" w:lineRule="exact"/>
              <w:jc w:val="left"/>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通过对进入评标室和评标楼层的人员进行目标抓拍、分析，识别出不属于该评标室专家时报警通知，防止影响本评标室或其他评标室的评标工作。</w:t>
            </w:r>
          </w:p>
        </w:tc>
      </w:tr>
      <w:tr w14:paraId="3336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14:paraId="4371A2D4">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6</w:t>
            </w:r>
          </w:p>
        </w:tc>
        <w:tc>
          <w:tcPr>
            <w:tcW w:w="3106" w:type="dxa"/>
          </w:tcPr>
          <w:p w14:paraId="10E5D834">
            <w:pPr>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专家进入开标区预警</w:t>
            </w:r>
          </w:p>
        </w:tc>
        <w:tc>
          <w:tcPr>
            <w:tcW w:w="4511" w:type="dxa"/>
          </w:tcPr>
          <w:p w14:paraId="597BC0B4">
            <w:pPr>
              <w:keepLines w:val="0"/>
              <w:pageBreakBefore w:val="0"/>
              <w:widowControl/>
              <w:kinsoku/>
              <w:wordWrap/>
              <w:overflowPunct/>
              <w:topLinePunct w:val="0"/>
              <w:autoSpaceDE/>
              <w:autoSpaceDN/>
              <w:bidi w:val="0"/>
              <w:adjustRightInd/>
              <w:snapToGrid/>
              <w:spacing w:line="580" w:lineRule="exact"/>
              <w:jc w:val="left"/>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为了有效降低串标、围标事件发生的概率，禁止投标人和评标专家接触，将评标专家纳入开标区重点关注名单，通过对开标区内人员进行目标抓拍、分析，识别出评标专家时触发预警。</w:t>
            </w:r>
          </w:p>
        </w:tc>
      </w:tr>
      <w:tr w14:paraId="6C7E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Pr>
          <w:p w14:paraId="06ACC8B4">
            <w:pPr>
              <w:keepLines w:val="0"/>
              <w:pageBreakBefore w:val="0"/>
              <w:widowControl/>
              <w:kinsoku/>
              <w:wordWrap/>
              <w:overflowPunct/>
              <w:topLinePunct w:val="0"/>
              <w:autoSpaceDE/>
              <w:autoSpaceDN/>
              <w:bidi w:val="0"/>
              <w:adjustRightInd/>
              <w:snapToGrid/>
              <w:spacing w:line="580" w:lineRule="exact"/>
              <w:jc w:val="center"/>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7</w:t>
            </w:r>
          </w:p>
        </w:tc>
        <w:tc>
          <w:tcPr>
            <w:tcW w:w="3106" w:type="dxa"/>
          </w:tcPr>
          <w:p w14:paraId="1FD78704">
            <w:pPr>
              <w:keepLines w:val="0"/>
              <w:pageBreakBefore w:val="0"/>
              <w:widowControl/>
              <w:kinsoku/>
              <w:wordWrap/>
              <w:overflowPunct/>
              <w:topLinePunct w:val="0"/>
              <w:autoSpaceDE/>
              <w:autoSpaceDN/>
              <w:bidi w:val="0"/>
              <w:adjustRightInd/>
              <w:snapToGrid/>
              <w:spacing w:line="580" w:lineRule="exact"/>
              <w:jc w:val="left"/>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开标室特定区域无权限人员预警</w:t>
            </w:r>
          </w:p>
        </w:tc>
        <w:tc>
          <w:tcPr>
            <w:tcW w:w="4511" w:type="dxa"/>
          </w:tcPr>
          <w:p w14:paraId="16184C08">
            <w:pPr>
              <w:keepLines w:val="0"/>
              <w:pageBreakBefore w:val="0"/>
              <w:widowControl/>
              <w:kinsoku/>
              <w:wordWrap/>
              <w:overflowPunct/>
              <w:topLinePunct w:val="0"/>
              <w:autoSpaceDE/>
              <w:autoSpaceDN/>
              <w:bidi w:val="0"/>
              <w:adjustRightInd/>
              <w:snapToGrid/>
              <w:spacing w:line="580" w:lineRule="exact"/>
              <w:jc w:val="left"/>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通过对开标室主席台区域、摇球机区域内人员进行目标抓拍、分析，识别出无权限人员时报警通知工作人员及时处理，有效实现评标评审区的隔离管理。</w:t>
            </w:r>
          </w:p>
        </w:tc>
      </w:tr>
    </w:tbl>
    <w:p w14:paraId="29587730">
      <w:pPr>
        <w:keepLines w:val="0"/>
        <w:pageBreakBefore w:val="0"/>
        <w:widowControl/>
        <w:shd w:val="clear"/>
        <w:kinsoku/>
        <w:wordWrap/>
        <w:overflowPunct/>
        <w:topLinePunct w:val="0"/>
        <w:autoSpaceDE/>
        <w:autoSpaceDN/>
        <w:bidi w:val="0"/>
        <w:adjustRightInd/>
        <w:snapToGrid/>
        <w:spacing w:line="580" w:lineRule="exact"/>
        <w:ind w:left="420" w:leftChars="0" w:firstLine="420" w:firstLineChars="0"/>
        <w:jc w:val="left"/>
        <w:textAlignment w:val="auto"/>
        <w:rPr>
          <w:rFonts w:hint="default" w:ascii="楷体" w:hAnsi="楷体" w:eastAsia="楷体" w:cs="楷体"/>
          <w:kern w:val="0"/>
          <w:sz w:val="32"/>
          <w:szCs w:val="32"/>
          <w:highlight w:val="none"/>
          <w:lang w:val="en-US" w:eastAsia="zh-CN"/>
        </w:rPr>
      </w:pPr>
    </w:p>
    <w:p w14:paraId="06F29619">
      <w:pPr>
        <w:keepLines w:val="0"/>
        <w:pageBreakBefore w:val="0"/>
        <w:widowControl/>
        <w:numPr>
          <w:ilvl w:val="0"/>
          <w:numId w:val="0"/>
        </w:numPr>
        <w:shd w:val="clear"/>
        <w:kinsoku/>
        <w:wordWrap/>
        <w:overflowPunct/>
        <w:topLinePunct w:val="0"/>
        <w:autoSpaceDE/>
        <w:autoSpaceDN/>
        <w:bidi w:val="0"/>
        <w:adjustRightInd/>
        <w:snapToGrid/>
        <w:spacing w:line="580" w:lineRule="exact"/>
        <w:ind w:firstLine="420" w:firstLineChars="0"/>
        <w:jc w:val="left"/>
        <w:textAlignment w:val="auto"/>
        <w:rPr>
          <w:rFonts w:hint="eastAsia" w:ascii="楷体" w:hAnsi="楷体" w:eastAsia="楷体" w:cs="楷体"/>
          <w:kern w:val="0"/>
          <w:sz w:val="32"/>
          <w:szCs w:val="32"/>
          <w:highlight w:val="none"/>
          <w:lang w:val="en-US" w:eastAsia="zh-CN"/>
        </w:rPr>
      </w:pPr>
      <w:r>
        <w:rPr>
          <w:rFonts w:hint="eastAsia" w:ascii="楷体" w:hAnsi="楷体" w:eastAsia="楷体" w:cs="楷体"/>
          <w:kern w:val="0"/>
          <w:sz w:val="32"/>
          <w:szCs w:val="32"/>
          <w:lang w:val="en-US" w:eastAsia="zh-CN" w:bidi="ar-SA"/>
        </w:rPr>
        <w:t>（二）</w:t>
      </w:r>
      <w:r>
        <w:rPr>
          <w:rFonts w:hint="eastAsia" w:ascii="楷体" w:hAnsi="楷体" w:eastAsia="楷体" w:cs="楷体"/>
          <w:kern w:val="0"/>
          <w:sz w:val="32"/>
          <w:szCs w:val="32"/>
          <w:highlight w:val="none"/>
          <w:lang w:val="en-US" w:eastAsia="zh-CN"/>
        </w:rPr>
        <w:t>摇球球号识别</w:t>
      </w:r>
    </w:p>
    <w:p w14:paraId="0FD43DE3">
      <w:pPr>
        <w:keepLines w:val="0"/>
        <w:pageBreakBefore w:val="0"/>
        <w:widowControl/>
        <w:kinsoku/>
        <w:wordWrap/>
        <w:overflowPunct/>
        <w:topLinePunct w:val="0"/>
        <w:autoSpaceDE/>
        <w:autoSpaceDN/>
        <w:bidi w:val="0"/>
        <w:adjustRightInd/>
        <w:snapToGrid/>
        <w:spacing w:line="580" w:lineRule="exact"/>
        <w:ind w:left="420" w:leftChars="0" w:firstLine="420" w:firstLineChars="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对摇球机摇出的球进行球号识别，识别产生的视频照片等数据应自动留存归档，并留有数据接口方便业务系统进行调用。</w:t>
      </w:r>
    </w:p>
    <w:p w14:paraId="114301F6">
      <w:pPr>
        <w:keepLines w:val="0"/>
        <w:pageBreakBefore w:val="0"/>
        <w:widowControl/>
        <w:numPr>
          <w:ilvl w:val="0"/>
          <w:numId w:val="2"/>
        </w:numPr>
        <w:kinsoku/>
        <w:wordWrap/>
        <w:overflowPunct/>
        <w:topLinePunct w:val="0"/>
        <w:autoSpaceDE/>
        <w:autoSpaceDN/>
        <w:bidi w:val="0"/>
        <w:adjustRightInd/>
        <w:snapToGrid/>
        <w:spacing w:line="580" w:lineRule="exact"/>
        <w:ind w:firstLine="420" w:firstLineChars="0"/>
        <w:jc w:val="both"/>
        <w:textAlignment w:val="auto"/>
        <w:rPr>
          <w:rFonts w:hint="default" w:ascii="楷体" w:hAnsi="楷体" w:eastAsia="楷体" w:cs="楷体"/>
          <w:kern w:val="0"/>
          <w:sz w:val="32"/>
          <w:szCs w:val="32"/>
          <w:highlight w:val="none"/>
          <w:lang w:val="en-US" w:eastAsia="zh-CN"/>
        </w:rPr>
      </w:pPr>
      <w:r>
        <w:rPr>
          <w:rFonts w:hint="eastAsia" w:ascii="楷体" w:hAnsi="楷体" w:eastAsia="楷体" w:cs="楷体"/>
          <w:kern w:val="0"/>
          <w:sz w:val="32"/>
          <w:szCs w:val="32"/>
          <w:highlight w:val="none"/>
          <w:lang w:val="en-US" w:eastAsia="zh-CN"/>
        </w:rPr>
        <w:t>人员轨迹追踪</w:t>
      </w:r>
    </w:p>
    <w:p w14:paraId="095A831D">
      <w:pPr>
        <w:keepLines w:val="0"/>
        <w:pageBreakBefore w:val="0"/>
        <w:widowControl/>
        <w:kinsoku/>
        <w:wordWrap/>
        <w:overflowPunct/>
        <w:topLinePunct w:val="0"/>
        <w:autoSpaceDE/>
        <w:autoSpaceDN/>
        <w:bidi w:val="0"/>
        <w:adjustRightInd/>
        <w:snapToGrid/>
        <w:spacing w:line="580" w:lineRule="exact"/>
        <w:ind w:left="420" w:leftChars="0" w:firstLine="420" w:firstLineChars="0"/>
        <w:jc w:val="both"/>
        <w:textAlignment w:val="auto"/>
        <w:rPr>
          <w:rFonts w:hint="default" w:ascii="楷体" w:hAnsi="楷体" w:eastAsia="楷体" w:cs="楷体"/>
          <w:kern w:val="0"/>
          <w:sz w:val="32"/>
          <w:szCs w:val="32"/>
          <w:highlight w:val="none"/>
          <w:lang w:val="en-US" w:eastAsia="zh-CN"/>
        </w:rPr>
      </w:pPr>
      <w:r>
        <w:rPr>
          <w:rFonts w:hint="eastAsia" w:ascii="仿宋" w:hAnsi="仿宋" w:eastAsia="仿宋" w:cs="仿宋"/>
          <w:kern w:val="0"/>
          <w:sz w:val="32"/>
          <w:szCs w:val="32"/>
          <w:highlight w:val="none"/>
          <w:lang w:val="zh-CN" w:eastAsia="zh-CN"/>
        </w:rPr>
        <w:t>通过招投标项目评标专家名单、人脸库或预警事件</w:t>
      </w:r>
      <w:r>
        <w:rPr>
          <w:rFonts w:hint="eastAsia" w:ascii="仿宋" w:hAnsi="仿宋" w:eastAsia="仿宋" w:cs="仿宋"/>
          <w:kern w:val="0"/>
          <w:sz w:val="32"/>
          <w:szCs w:val="32"/>
          <w:highlight w:val="none"/>
          <w:lang w:val="en-US" w:eastAsia="zh-CN"/>
        </w:rPr>
        <w:t>等多种筛选条件选定</w:t>
      </w:r>
      <w:r>
        <w:rPr>
          <w:rFonts w:hint="eastAsia" w:ascii="仿宋" w:hAnsi="仿宋" w:eastAsia="仿宋" w:cs="仿宋"/>
          <w:kern w:val="0"/>
          <w:sz w:val="32"/>
          <w:szCs w:val="32"/>
          <w:highlight w:val="none"/>
          <w:lang w:val="zh-CN" w:eastAsia="zh-CN"/>
        </w:rPr>
        <w:t>评标专家进行追踪，显示专家</w:t>
      </w:r>
      <w:r>
        <w:rPr>
          <w:rFonts w:hint="eastAsia" w:ascii="仿宋" w:hAnsi="仿宋" w:eastAsia="仿宋" w:cs="仿宋"/>
          <w:kern w:val="0"/>
          <w:sz w:val="32"/>
          <w:szCs w:val="32"/>
          <w:highlight w:val="none"/>
          <w:lang w:val="en-US" w:eastAsia="zh-CN"/>
        </w:rPr>
        <w:t>在选定时间段内的活动路线</w:t>
      </w:r>
      <w:r>
        <w:rPr>
          <w:rFonts w:hint="eastAsia" w:ascii="仿宋" w:hAnsi="仿宋" w:eastAsia="仿宋" w:cs="仿宋"/>
          <w:kern w:val="0"/>
          <w:sz w:val="32"/>
          <w:szCs w:val="32"/>
          <w:highlight w:val="none"/>
          <w:lang w:val="zh-CN" w:eastAsia="zh-CN"/>
        </w:rPr>
        <w:t>，并自动播放该路线的预览画面，当专家出现在新的位置时，预览画面自动切换显示。</w:t>
      </w:r>
    </w:p>
    <w:p w14:paraId="345F9F57">
      <w:pPr>
        <w:keepLines w:val="0"/>
        <w:pageBreakBefore w:val="0"/>
        <w:widowControl/>
        <w:numPr>
          <w:ilvl w:val="0"/>
          <w:numId w:val="0"/>
        </w:numPr>
        <w:shd w:val="clear"/>
        <w:kinsoku/>
        <w:wordWrap/>
        <w:overflowPunct/>
        <w:topLinePunct w:val="0"/>
        <w:autoSpaceDE/>
        <w:autoSpaceDN/>
        <w:bidi w:val="0"/>
        <w:adjustRightInd/>
        <w:snapToGrid/>
        <w:spacing w:line="580" w:lineRule="exact"/>
        <w:ind w:left="0" w:leftChars="0" w:firstLine="420" w:firstLineChars="0"/>
        <w:jc w:val="left"/>
        <w:textAlignment w:val="auto"/>
        <w:rPr>
          <w:rFonts w:hint="eastAsia" w:ascii="楷体" w:hAnsi="楷体" w:eastAsia="楷体" w:cs="楷体"/>
          <w:kern w:val="0"/>
          <w:sz w:val="32"/>
          <w:szCs w:val="32"/>
          <w:highlight w:val="none"/>
          <w:lang w:val="en-US" w:eastAsia="zh-CN"/>
        </w:rPr>
      </w:pPr>
      <w:r>
        <w:rPr>
          <w:rFonts w:hint="eastAsia" w:ascii="楷体" w:hAnsi="楷体" w:eastAsia="楷体" w:cs="楷体"/>
          <w:kern w:val="0"/>
          <w:sz w:val="32"/>
          <w:szCs w:val="32"/>
          <w:lang w:val="en-US" w:eastAsia="zh-CN" w:bidi="ar-SA"/>
        </w:rPr>
        <w:t>（四）</w:t>
      </w:r>
      <w:r>
        <w:rPr>
          <w:rFonts w:hint="eastAsia" w:ascii="楷体" w:hAnsi="楷体" w:eastAsia="楷体" w:cs="楷体"/>
          <w:kern w:val="0"/>
          <w:sz w:val="32"/>
          <w:szCs w:val="32"/>
          <w:highlight w:val="none"/>
          <w:lang w:val="en-US" w:eastAsia="zh-CN"/>
        </w:rPr>
        <w:t>人员管理</w:t>
      </w:r>
    </w:p>
    <w:p w14:paraId="34E23425">
      <w:pPr>
        <w:keepLines w:val="0"/>
        <w:pageBreakBefore w:val="0"/>
        <w:widowControl/>
        <w:kinsoku/>
        <w:wordWrap/>
        <w:overflowPunct/>
        <w:topLinePunct w:val="0"/>
        <w:autoSpaceDE/>
        <w:autoSpaceDN/>
        <w:bidi w:val="0"/>
        <w:adjustRightInd/>
        <w:snapToGrid/>
        <w:spacing w:line="580" w:lineRule="exact"/>
        <w:ind w:left="420" w:leftChars="0" w:firstLine="420" w:firstLineChars="0"/>
        <w:jc w:val="left"/>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系统应与开标大厅闸机联动，实时获取刷身份证读取证件信息与人脸照片，支持与业务系统进行对接自动关联</w:t>
      </w:r>
    </w:p>
    <w:p w14:paraId="6D754F23">
      <w:pPr>
        <w:keepLines w:val="0"/>
        <w:pageBreakBefore w:val="0"/>
        <w:widowControl/>
        <w:kinsoku/>
        <w:wordWrap/>
        <w:overflowPunct/>
        <w:topLinePunct w:val="0"/>
        <w:autoSpaceDE/>
        <w:autoSpaceDN/>
        <w:bidi w:val="0"/>
        <w:adjustRightInd/>
        <w:snapToGrid/>
        <w:spacing w:line="580" w:lineRule="exact"/>
        <w:ind w:firstLine="420" w:firstLineChars="0"/>
        <w:jc w:val="left"/>
        <w:textAlignment w:val="auto"/>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人员身份及项目信息，且同时保留人工录入渠道。</w:t>
      </w:r>
    </w:p>
    <w:p w14:paraId="7E384E6B">
      <w:pPr>
        <w:keepLines w:val="0"/>
        <w:pageBreakBefore w:val="0"/>
        <w:widowControl/>
        <w:shd w:val="clear"/>
        <w:kinsoku/>
        <w:wordWrap/>
        <w:overflowPunct/>
        <w:topLinePunct w:val="0"/>
        <w:autoSpaceDE/>
        <w:autoSpaceDN/>
        <w:bidi w:val="0"/>
        <w:adjustRightInd/>
        <w:snapToGrid/>
        <w:spacing w:line="580" w:lineRule="exact"/>
        <w:ind w:firstLine="420" w:firstLineChars="0"/>
        <w:jc w:val="left"/>
        <w:textAlignment w:val="auto"/>
        <w:rPr>
          <w:rFonts w:hint="default" w:ascii="楷体" w:hAnsi="楷体" w:eastAsia="楷体" w:cs="楷体"/>
          <w:kern w:val="0"/>
          <w:sz w:val="32"/>
          <w:szCs w:val="32"/>
          <w:highlight w:val="none"/>
          <w:lang w:val="en-US" w:eastAsia="zh-CN"/>
        </w:rPr>
      </w:pPr>
      <w:r>
        <w:rPr>
          <w:rFonts w:hint="eastAsia" w:ascii="楷体" w:hAnsi="楷体" w:eastAsia="楷体" w:cs="楷体"/>
          <w:kern w:val="0"/>
          <w:sz w:val="32"/>
          <w:szCs w:val="32"/>
          <w:highlight w:val="none"/>
          <w:lang w:val="en-US" w:eastAsia="zh-CN"/>
        </w:rPr>
        <w:t>（五）数据整合及展示</w:t>
      </w:r>
    </w:p>
    <w:p w14:paraId="7768CE47">
      <w:pPr>
        <w:keepLines w:val="0"/>
        <w:pageBreakBefore w:val="0"/>
        <w:widowControl/>
        <w:kinsoku/>
        <w:wordWrap/>
        <w:overflowPunct/>
        <w:topLinePunct w:val="0"/>
        <w:autoSpaceDE/>
        <w:autoSpaceDN/>
        <w:bidi w:val="0"/>
        <w:adjustRightInd/>
        <w:snapToGrid/>
        <w:spacing w:line="580" w:lineRule="exact"/>
        <w:ind w:left="420" w:leftChars="0" w:firstLine="420" w:firstLineChars="0"/>
        <w:jc w:val="left"/>
        <w:textAlignment w:val="auto"/>
        <w:rPr>
          <w:rFonts w:hint="default" w:ascii="宋体" w:hAnsi="宋体" w:eastAsia="宋体" w:cs="宋体"/>
          <w:b/>
          <w:bCs/>
          <w:kern w:val="0"/>
          <w:sz w:val="44"/>
          <w:szCs w:val="44"/>
          <w:highlight w:val="none"/>
          <w:lang w:val="en-US" w:eastAsia="zh-CN"/>
        </w:rPr>
      </w:pPr>
      <w:r>
        <w:rPr>
          <w:rFonts w:hint="eastAsia" w:ascii="仿宋" w:hAnsi="仿宋" w:eastAsia="仿宋" w:cs="仿宋"/>
          <w:kern w:val="0"/>
          <w:sz w:val="32"/>
          <w:szCs w:val="32"/>
          <w:highlight w:val="none"/>
          <w:lang w:val="en-US" w:eastAsia="zh-CN"/>
        </w:rPr>
        <w:t>系统应将各功能模块产生的数据统一汇聚至前端页面集中展示，前端页面应采用图表与列表相结合的可视化方式，并适配中心现有大屏及常用分辨率显示。</w:t>
      </w:r>
    </w:p>
    <w:p w14:paraId="0A93E61E">
      <w:pPr>
        <w:keepLines w:val="0"/>
        <w:pageBreakBefore w:val="0"/>
        <w:widowControl/>
        <w:kinsoku/>
        <w:wordWrap/>
        <w:overflowPunct/>
        <w:topLinePunct w:val="0"/>
        <w:autoSpaceDE/>
        <w:autoSpaceDN/>
        <w:bidi w:val="0"/>
        <w:adjustRightInd/>
        <w:snapToGrid/>
        <w:spacing w:line="580" w:lineRule="exact"/>
        <w:ind w:left="420" w:leftChars="0" w:firstLine="420" w:firstLineChars="0"/>
        <w:jc w:val="left"/>
        <w:textAlignment w:val="auto"/>
        <w:rPr>
          <w:rFonts w:hint="default" w:ascii="宋体" w:hAnsi="宋体" w:eastAsia="宋体" w:cs="宋体"/>
          <w:b/>
          <w:bCs/>
          <w:kern w:val="0"/>
          <w:sz w:val="44"/>
          <w:szCs w:val="4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52F08C"/>
    <w:multiLevelType w:val="singleLevel"/>
    <w:tmpl w:val="8F52F08C"/>
    <w:lvl w:ilvl="0" w:tentative="0">
      <w:start w:val="3"/>
      <w:numFmt w:val="chineseCounting"/>
      <w:suff w:val="nothing"/>
      <w:lvlText w:val="（%1）"/>
      <w:lvlJc w:val="left"/>
      <w:rPr>
        <w:rFonts w:hint="eastAsia"/>
      </w:rPr>
    </w:lvl>
  </w:abstractNum>
  <w:abstractNum w:abstractNumId="1">
    <w:nsid w:val="F7A26213"/>
    <w:multiLevelType w:val="singleLevel"/>
    <w:tmpl w:val="F7A26213"/>
    <w:lvl w:ilvl="0" w:tentative="0">
      <w:start w:val="1"/>
      <w:numFmt w:val="chineseCounting"/>
      <w:suff w:val="nothing"/>
      <w:lvlText w:val="%1、"/>
      <w:lvlJc w:val="left"/>
      <w:pPr>
        <w:ind w:left="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E51D2"/>
    <w:rsid w:val="005714C6"/>
    <w:rsid w:val="011253ED"/>
    <w:rsid w:val="014A2DD9"/>
    <w:rsid w:val="02EF5EA2"/>
    <w:rsid w:val="03C230FA"/>
    <w:rsid w:val="04754611"/>
    <w:rsid w:val="06F23CF7"/>
    <w:rsid w:val="082944CE"/>
    <w:rsid w:val="08DD2784"/>
    <w:rsid w:val="0A930053"/>
    <w:rsid w:val="0AF50259"/>
    <w:rsid w:val="0B064214"/>
    <w:rsid w:val="0E3E5A73"/>
    <w:rsid w:val="0EDC2C41"/>
    <w:rsid w:val="0EF8218A"/>
    <w:rsid w:val="10545A22"/>
    <w:rsid w:val="11140D0D"/>
    <w:rsid w:val="115E01DA"/>
    <w:rsid w:val="124714B6"/>
    <w:rsid w:val="132C01BD"/>
    <w:rsid w:val="15311E8E"/>
    <w:rsid w:val="15FA6724"/>
    <w:rsid w:val="165752E8"/>
    <w:rsid w:val="17C57205"/>
    <w:rsid w:val="19F94F44"/>
    <w:rsid w:val="1B1F09DB"/>
    <w:rsid w:val="1B6D25FB"/>
    <w:rsid w:val="1B853D32"/>
    <w:rsid w:val="1C405456"/>
    <w:rsid w:val="1CE418D3"/>
    <w:rsid w:val="1E764DB5"/>
    <w:rsid w:val="1FF82DDD"/>
    <w:rsid w:val="21C17C32"/>
    <w:rsid w:val="23130E25"/>
    <w:rsid w:val="23D5432C"/>
    <w:rsid w:val="249B1D37"/>
    <w:rsid w:val="25A822CA"/>
    <w:rsid w:val="26F7280B"/>
    <w:rsid w:val="2BBE1B4A"/>
    <w:rsid w:val="2CF13172"/>
    <w:rsid w:val="30AE03DF"/>
    <w:rsid w:val="32AF3956"/>
    <w:rsid w:val="34261354"/>
    <w:rsid w:val="387737AC"/>
    <w:rsid w:val="3B5F50F7"/>
    <w:rsid w:val="3C5A141B"/>
    <w:rsid w:val="3D60645D"/>
    <w:rsid w:val="3F48359D"/>
    <w:rsid w:val="42113FD2"/>
    <w:rsid w:val="42BB7828"/>
    <w:rsid w:val="441D5B50"/>
    <w:rsid w:val="446C01CF"/>
    <w:rsid w:val="44CA201E"/>
    <w:rsid w:val="467147E3"/>
    <w:rsid w:val="4C650094"/>
    <w:rsid w:val="4D1F6494"/>
    <w:rsid w:val="4DD51249"/>
    <w:rsid w:val="4DEB6377"/>
    <w:rsid w:val="50302767"/>
    <w:rsid w:val="507A1C34"/>
    <w:rsid w:val="52720E14"/>
    <w:rsid w:val="52C268D3"/>
    <w:rsid w:val="52CD6B8D"/>
    <w:rsid w:val="544F2A33"/>
    <w:rsid w:val="55540CA5"/>
    <w:rsid w:val="55D61E30"/>
    <w:rsid w:val="56717635"/>
    <w:rsid w:val="56EA18C1"/>
    <w:rsid w:val="57281F5C"/>
    <w:rsid w:val="572F3778"/>
    <w:rsid w:val="583A23D4"/>
    <w:rsid w:val="59A03508"/>
    <w:rsid w:val="5A981634"/>
    <w:rsid w:val="5AED0A47"/>
    <w:rsid w:val="5B022F52"/>
    <w:rsid w:val="5BCC118D"/>
    <w:rsid w:val="5BDC6B02"/>
    <w:rsid w:val="5C3F26AF"/>
    <w:rsid w:val="5DBD3FBB"/>
    <w:rsid w:val="5EEA4A34"/>
    <w:rsid w:val="603867AB"/>
    <w:rsid w:val="640D6BEF"/>
    <w:rsid w:val="64C463EE"/>
    <w:rsid w:val="64DF4A2F"/>
    <w:rsid w:val="653603C7"/>
    <w:rsid w:val="654B4555"/>
    <w:rsid w:val="66392B38"/>
    <w:rsid w:val="663D681E"/>
    <w:rsid w:val="688D5D44"/>
    <w:rsid w:val="698C2CAC"/>
    <w:rsid w:val="69C53AC8"/>
    <w:rsid w:val="6A9F07BD"/>
    <w:rsid w:val="6BEC17E0"/>
    <w:rsid w:val="704A55BF"/>
    <w:rsid w:val="71906AD0"/>
    <w:rsid w:val="74BF3F35"/>
    <w:rsid w:val="75AD7879"/>
    <w:rsid w:val="75C153E8"/>
    <w:rsid w:val="769A1C06"/>
    <w:rsid w:val="78197E01"/>
    <w:rsid w:val="7A5E67BA"/>
    <w:rsid w:val="7AD1051F"/>
    <w:rsid w:val="7BD36518"/>
    <w:rsid w:val="7C7F3FAA"/>
    <w:rsid w:val="7C8E51D2"/>
    <w:rsid w:val="7F855D7C"/>
    <w:rsid w:val="7F9F5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keepNext/>
      <w:spacing w:before="240" w:after="60"/>
      <w:outlineLvl w:val="3"/>
    </w:pPr>
    <w:rPr>
      <w:b/>
      <w:bCs/>
      <w:sz w:val="28"/>
      <w:szCs w:val="28"/>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1728</Words>
  <Characters>1745</Characters>
  <Lines>0</Lines>
  <Paragraphs>0</Paragraphs>
  <TotalTime>0</TotalTime>
  <ScaleCrop>false</ScaleCrop>
  <LinksUpToDate>false</LinksUpToDate>
  <CharactersWithSpaces>1745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2026-09-20T05:37:00Z</dcterms:created>
  <dc:creator>WPS_1668570668</dc:creator>
  <cp:lastModifiedBy>WPS_1668570668</cp:lastModifiedBy>
  <dcterms:modified xsi:type="dcterms:W3CDTF">2026-09-21T06:25:13Z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6A72D228EFCE45F785218B854A473E18_11</vt:lpwstr>
  </property>
  <property fmtid="{D5CDD505-2E9C-101B-9397-08002B2CF9AE}" pid="4" name="KSOTemplateDocerSaveRecord">
    <vt:lpwstr>eyJoZGlkIjoiNDI1NGQ4MDY4NjMxYWVlMzc3ODM2NDE0MmU1ODUxYzYiLCJ1c2VySWQiOiIxNDQyMzQ5MjYwIn0=</vt:lpwstr>
  </property>
</Properties>
</file>