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Lines w:val="0"/>
        <w:pageBreakBefore w:val="0"/>
        <w:widowControl/>
        <w:shd w:val="clear"/>
        <w:kinsoku/>
        <w:wordWrap/>
        <w:overflowPunct/>
        <w:topLinePunct w:val="0"/>
        <w:autoSpaceDE/>
        <w:autoSpaceDN/>
        <w:bidi w:val="0"/>
        <w:adjustRightInd/>
        <w:snapToGrid/>
        <w:spacing w:line="580" w:lineRule="exact"/>
        <w:jc w:val="center"/>
        <w:textAlignment w:val="auto"/>
        <w:rPr>
          <w:rFonts w:ascii="宋体" w:hAnsi="宋体" w:eastAsia="宋体" w:cs="宋体"/>
          <w:b/>
          <w:bCs/>
          <w:sz w:val="44"/>
          <w:szCs w:val="44"/>
          <w:highlight w:val="none"/>
        </w:rPr>
      </w:pPr>
      <w:bookmarkStart w:id="0" w:name="_GoBack"/>
      <w:r>
        <w:rPr>
          <w:rFonts w:ascii="宋体" w:hAnsi="宋体" w:eastAsia="宋体" w:cs="宋体"/>
          <w:b/>
          <w:bCs/>
          <w:sz w:val="44"/>
          <w:szCs w:val="44"/>
          <w:highlight w:val="none"/>
        </w:rPr>
        <w:t>福州市电子招投标交易系统项目</w:t>
      </w:r>
    </w:p>
    <w:p>
      <w:pPr>
        <w:keepLines w:val="0"/>
        <w:pageBreakBefore w:val="0"/>
        <w:widowControl/>
        <w:shd w:val="clear"/>
        <w:kinsoku/>
        <w:wordWrap/>
        <w:overflowPunct/>
        <w:topLinePunct w:val="0"/>
        <w:autoSpaceDE/>
        <w:autoSpaceDN/>
        <w:bidi w:val="0"/>
        <w:adjustRightInd/>
        <w:snapToGrid/>
        <w:spacing w:line="580" w:lineRule="exact"/>
        <w:jc w:val="center"/>
        <w:textAlignment w:val="auto"/>
        <w:rPr>
          <w:highlight w:val="none"/>
        </w:rPr>
      </w:pPr>
      <w:r>
        <w:rPr>
          <w:rFonts w:ascii="宋体" w:hAnsi="宋体" w:eastAsia="宋体" w:cs="宋体"/>
          <w:b/>
          <w:bCs/>
          <w:sz w:val="44"/>
          <w:szCs w:val="44"/>
          <w:highlight w:val="none"/>
        </w:rPr>
        <w:t>技术服务需求</w:t>
      </w:r>
    </w:p>
    <w:bookmarkEnd w:id="0"/>
    <w:p>
      <w:pPr>
        <w:keepLines w:val="0"/>
        <w:pageBreakBefore w:val="0"/>
        <w:widowControl/>
        <w:shd w:val="clear"/>
        <w:kinsoku/>
        <w:wordWrap/>
        <w:overflowPunct/>
        <w:topLinePunct w:val="0"/>
        <w:autoSpaceDE/>
        <w:autoSpaceDN/>
        <w:bidi w:val="0"/>
        <w:adjustRightInd/>
        <w:snapToGrid/>
        <w:spacing w:line="580" w:lineRule="exact"/>
        <w:ind w:firstLine="645"/>
        <w:jc w:val="right"/>
        <w:textAlignment w:val="auto"/>
        <w:rPr>
          <w:highlight w:val="none"/>
        </w:rPr>
      </w:pPr>
      <w:r>
        <w:rPr>
          <w:rFonts w:ascii="Calibri" w:hAnsi="Calibri" w:eastAsia="Calibri" w:cs="Calibri"/>
          <w:sz w:val="32"/>
          <w:szCs w:val="32"/>
          <w:highlight w:val="none"/>
        </w:rPr>
        <w:t> </w:t>
      </w:r>
    </w:p>
    <w:p>
      <w:pPr>
        <w:keepLines w:val="0"/>
        <w:pageBreakBefore w:val="0"/>
        <w:widowControl/>
        <w:shd w:val="clear"/>
        <w:kinsoku/>
        <w:wordWrap/>
        <w:overflowPunct/>
        <w:topLinePunct w:val="0"/>
        <w:autoSpaceDE/>
        <w:autoSpaceDN/>
        <w:bidi w:val="0"/>
        <w:adjustRightInd/>
        <w:snapToGrid/>
        <w:spacing w:line="580" w:lineRule="exact"/>
        <w:ind w:firstLine="645"/>
        <w:textAlignment w:val="auto"/>
        <w:rPr>
          <w:highlight w:val="none"/>
        </w:rPr>
      </w:pPr>
      <w:r>
        <w:rPr>
          <w:rFonts w:ascii="黑体" w:hAnsi="黑体" w:eastAsia="黑体" w:cs="黑体"/>
          <w:sz w:val="32"/>
          <w:szCs w:val="32"/>
          <w:highlight w:val="none"/>
        </w:rPr>
        <w:t>一、项目基本情况</w:t>
      </w:r>
    </w:p>
    <w:p>
      <w:pPr>
        <w:keepLines w:val="0"/>
        <w:pageBreakBefore w:val="0"/>
        <w:widowControl/>
        <w:shd w:val="clear"/>
        <w:kinsoku/>
        <w:wordWrap/>
        <w:overflowPunct/>
        <w:topLinePunct w:val="0"/>
        <w:autoSpaceDE/>
        <w:autoSpaceDN/>
        <w:bidi w:val="0"/>
        <w:adjustRightInd/>
        <w:snapToGrid/>
        <w:spacing w:line="580" w:lineRule="exact"/>
        <w:ind w:firstLine="645"/>
        <w:textAlignment w:val="auto"/>
        <w:rPr>
          <w:highlight w:val="none"/>
        </w:rPr>
      </w:pPr>
      <w:r>
        <w:rPr>
          <w:rFonts w:ascii="楷体" w:hAnsi="楷体" w:eastAsia="楷体" w:cs="楷体"/>
          <w:sz w:val="32"/>
          <w:szCs w:val="32"/>
          <w:highlight w:val="none"/>
        </w:rPr>
        <w:t>（一）项目名称</w:t>
      </w:r>
    </w:p>
    <w:p>
      <w:pPr>
        <w:keepLines w:val="0"/>
        <w:pageBreakBefore w:val="0"/>
        <w:widowControl/>
        <w:shd w:val="clear"/>
        <w:kinsoku/>
        <w:wordWrap/>
        <w:overflowPunct/>
        <w:topLinePunct w:val="0"/>
        <w:autoSpaceDE/>
        <w:autoSpaceDN/>
        <w:bidi w:val="0"/>
        <w:adjustRightInd/>
        <w:snapToGrid/>
        <w:spacing w:line="580" w:lineRule="exact"/>
        <w:ind w:firstLine="645"/>
        <w:textAlignment w:val="auto"/>
        <w:rPr>
          <w:highlight w:val="none"/>
        </w:rPr>
      </w:pPr>
      <w:r>
        <w:rPr>
          <w:rFonts w:ascii="仿宋" w:hAnsi="仿宋" w:eastAsia="仿宋" w:cs="仿宋"/>
          <w:sz w:val="32"/>
          <w:szCs w:val="32"/>
          <w:highlight w:val="none"/>
        </w:rPr>
        <w:t>福州市电子招投标交易系统项目技术服务项目</w:t>
      </w:r>
    </w:p>
    <w:p>
      <w:pPr>
        <w:keepLines w:val="0"/>
        <w:pageBreakBefore w:val="0"/>
        <w:widowControl/>
        <w:shd w:val="clear"/>
        <w:kinsoku/>
        <w:wordWrap/>
        <w:overflowPunct/>
        <w:topLinePunct w:val="0"/>
        <w:autoSpaceDE/>
        <w:autoSpaceDN/>
        <w:bidi w:val="0"/>
        <w:adjustRightInd/>
        <w:snapToGrid/>
        <w:spacing w:line="580" w:lineRule="exact"/>
        <w:ind w:firstLine="645"/>
        <w:textAlignment w:val="auto"/>
        <w:rPr>
          <w:highlight w:val="none"/>
        </w:rPr>
      </w:pPr>
      <w:r>
        <w:rPr>
          <w:rFonts w:ascii="楷体" w:hAnsi="楷体" w:eastAsia="楷体" w:cs="楷体"/>
          <w:sz w:val="32"/>
          <w:szCs w:val="32"/>
          <w:highlight w:val="none"/>
        </w:rPr>
        <w:t>（二）技术服务总体内容</w:t>
      </w:r>
    </w:p>
    <w:p>
      <w:pPr>
        <w:keepLines w:val="0"/>
        <w:pageBreakBefore w:val="0"/>
        <w:widowControl/>
        <w:shd w:val="clear"/>
        <w:kinsoku/>
        <w:wordWrap/>
        <w:overflowPunct/>
        <w:topLinePunct w:val="0"/>
        <w:autoSpaceDE/>
        <w:autoSpaceDN/>
        <w:bidi w:val="0"/>
        <w:adjustRightInd/>
        <w:snapToGrid/>
        <w:spacing w:line="580" w:lineRule="exact"/>
        <w:ind w:firstLine="645"/>
        <w:textAlignment w:val="auto"/>
        <w:rPr>
          <w:rFonts w:ascii="仿宋" w:hAnsi="仿宋" w:eastAsia="仿宋" w:cs="仿宋"/>
          <w:sz w:val="32"/>
          <w:szCs w:val="32"/>
          <w:highlight w:val="none"/>
        </w:rPr>
      </w:pPr>
      <w:r>
        <w:rPr>
          <w:rFonts w:ascii="仿宋" w:hAnsi="仿宋" w:eastAsia="仿宋" w:cs="仿宋"/>
          <w:sz w:val="32"/>
          <w:szCs w:val="32"/>
          <w:highlight w:val="none"/>
        </w:rPr>
        <w:t>技术服务内容以《福州市电子招投标交易系统项目建议书》《福州市电子招投标交易系统项目技术方案》为依据，上述文件所载明的全部技术服务内容均纳入本次技术服务范围。同时，应负责提供满足平台业务正常运行所需的视频会商软件服务（不包含硬件、网络等服务）、专家电签服务（基于现有设备的软件服务，不包含硬件、网络等服务）、开标视频直播服务、企业客服等。供应商须确保平台各项功能及服务完整实现，保障平台运行与持续优化。</w:t>
      </w:r>
    </w:p>
    <w:p>
      <w:pPr>
        <w:keepLines w:val="0"/>
        <w:pageBreakBefore w:val="0"/>
        <w:widowControl/>
        <w:shd w:val="clear"/>
        <w:kinsoku/>
        <w:wordWrap/>
        <w:overflowPunct/>
        <w:topLinePunct w:val="0"/>
        <w:autoSpaceDE/>
        <w:autoSpaceDN/>
        <w:bidi w:val="0"/>
        <w:adjustRightInd/>
        <w:snapToGrid/>
        <w:spacing w:line="580" w:lineRule="exact"/>
        <w:ind w:firstLine="645"/>
        <w:textAlignment w:val="auto"/>
        <w:rPr>
          <w:rFonts w:hint="eastAsia" w:eastAsia="楷体"/>
          <w:highlight w:val="none"/>
          <w:lang w:eastAsia="zh-CN"/>
        </w:rPr>
      </w:pPr>
      <w:r>
        <w:rPr>
          <w:rFonts w:ascii="楷体" w:hAnsi="楷体" w:eastAsia="楷体" w:cs="楷体"/>
          <w:sz w:val="32"/>
          <w:szCs w:val="32"/>
          <w:highlight w:val="none"/>
        </w:rPr>
        <w:t>（三）技术服务</w:t>
      </w:r>
      <w:r>
        <w:rPr>
          <w:rFonts w:hint="eastAsia" w:ascii="楷体" w:hAnsi="楷体" w:eastAsia="楷体" w:cs="楷体"/>
          <w:sz w:val="32"/>
          <w:szCs w:val="32"/>
          <w:highlight w:val="none"/>
          <w:lang w:val="en-US" w:eastAsia="zh-CN"/>
        </w:rPr>
        <w:t>期限</w:t>
      </w:r>
    </w:p>
    <w:p>
      <w:pPr>
        <w:keepLines w:val="0"/>
        <w:pageBreakBefore w:val="0"/>
        <w:widowControl/>
        <w:shd w:val="clear"/>
        <w:kinsoku/>
        <w:wordWrap/>
        <w:overflowPunct/>
        <w:topLinePunct w:val="0"/>
        <w:autoSpaceDE/>
        <w:autoSpaceDN/>
        <w:bidi w:val="0"/>
        <w:adjustRightInd/>
        <w:snapToGrid/>
        <w:spacing w:line="580" w:lineRule="exact"/>
        <w:ind w:firstLine="645"/>
        <w:textAlignment w:val="auto"/>
        <w:rPr>
          <w:rFonts w:hint="default" w:eastAsia="仿宋"/>
          <w:highlight w:val="none"/>
          <w:lang w:val="en-US" w:eastAsia="zh-CN"/>
        </w:rPr>
      </w:pPr>
      <w:r>
        <w:rPr>
          <w:rFonts w:ascii="仿宋" w:hAnsi="仿宋" w:eastAsia="仿宋" w:cs="仿宋"/>
          <w:sz w:val="32"/>
          <w:szCs w:val="32"/>
          <w:highlight w:val="none"/>
        </w:rPr>
        <w:t>服务</w:t>
      </w:r>
      <w:r>
        <w:rPr>
          <w:rFonts w:hint="eastAsia" w:ascii="仿宋" w:hAnsi="仿宋" w:eastAsia="仿宋" w:cs="仿宋"/>
          <w:sz w:val="32"/>
          <w:szCs w:val="32"/>
          <w:highlight w:val="none"/>
          <w:lang w:val="en-US" w:eastAsia="zh-CN"/>
        </w:rPr>
        <w:t>期限</w:t>
      </w:r>
      <w:r>
        <w:rPr>
          <w:rFonts w:ascii="仿宋" w:hAnsi="仿宋" w:eastAsia="仿宋" w:cs="仿宋"/>
          <w:sz w:val="32"/>
          <w:szCs w:val="32"/>
          <w:highlight w:val="none"/>
        </w:rPr>
        <w:t>为1年，自合同签订之日起计算（具体起止时间以合同约定为准）。</w:t>
      </w:r>
      <w:r>
        <w:rPr>
          <w:rFonts w:hint="eastAsia" w:ascii="仿宋" w:hAnsi="仿宋" w:eastAsia="仿宋" w:cs="仿宋"/>
          <w:sz w:val="32"/>
          <w:szCs w:val="32"/>
          <w:highlight w:val="none"/>
          <w:lang w:val="en-US" w:eastAsia="zh-CN"/>
        </w:rPr>
        <w:t>若服务期内，全省统一的工程领域交易系统上线并实现与</w:t>
      </w:r>
      <w:r>
        <w:rPr>
          <w:rFonts w:ascii="仿宋" w:hAnsi="仿宋" w:eastAsia="仿宋" w:cs="仿宋"/>
          <w:sz w:val="32"/>
          <w:szCs w:val="32"/>
          <w:highlight w:val="none"/>
        </w:rPr>
        <w:t>福州市电子招投标交易系统</w:t>
      </w:r>
      <w:r>
        <w:rPr>
          <w:rFonts w:hint="eastAsia" w:ascii="仿宋" w:hAnsi="仿宋" w:eastAsia="仿宋" w:cs="仿宋"/>
          <w:sz w:val="32"/>
          <w:szCs w:val="32"/>
          <w:highlight w:val="none"/>
          <w:lang w:eastAsia="zh-CN"/>
        </w:rPr>
        <w:t>的</w:t>
      </w:r>
      <w:r>
        <w:rPr>
          <w:rFonts w:hint="eastAsia" w:ascii="仿宋" w:hAnsi="仿宋" w:eastAsia="仿宋" w:cs="仿宋"/>
          <w:sz w:val="32"/>
          <w:szCs w:val="32"/>
          <w:highlight w:val="none"/>
          <w:lang w:val="en-US" w:eastAsia="zh-CN"/>
        </w:rPr>
        <w:t>平稳过渡，则合同提前终止。</w:t>
      </w:r>
    </w:p>
    <w:p>
      <w:pPr>
        <w:keepLines w:val="0"/>
        <w:pageBreakBefore w:val="0"/>
        <w:widowControl/>
        <w:shd w:val="clear"/>
        <w:kinsoku/>
        <w:wordWrap/>
        <w:overflowPunct/>
        <w:topLinePunct w:val="0"/>
        <w:autoSpaceDE/>
        <w:autoSpaceDN/>
        <w:bidi w:val="0"/>
        <w:adjustRightInd/>
        <w:snapToGrid/>
        <w:spacing w:line="580" w:lineRule="exact"/>
        <w:ind w:firstLine="645"/>
        <w:textAlignment w:val="auto"/>
        <w:rPr>
          <w:highlight w:val="none"/>
        </w:rPr>
      </w:pPr>
      <w:r>
        <w:rPr>
          <w:rFonts w:ascii="楷体" w:hAnsi="楷体" w:eastAsia="楷体" w:cs="楷体"/>
          <w:sz w:val="32"/>
          <w:szCs w:val="32"/>
          <w:highlight w:val="none"/>
        </w:rPr>
        <w:t>（四）技术服务费用</w:t>
      </w:r>
    </w:p>
    <w:p>
      <w:pPr>
        <w:keepLines w:val="0"/>
        <w:pageBreakBefore w:val="0"/>
        <w:widowControl/>
        <w:shd w:val="clear"/>
        <w:kinsoku/>
        <w:wordWrap/>
        <w:overflowPunct/>
        <w:topLinePunct w:val="0"/>
        <w:autoSpaceDE/>
        <w:autoSpaceDN/>
        <w:bidi w:val="0"/>
        <w:adjustRightInd/>
        <w:snapToGrid/>
        <w:spacing w:line="580" w:lineRule="exact"/>
        <w:ind w:firstLine="645"/>
        <w:textAlignment w:val="auto"/>
        <w:rPr>
          <w:rFonts w:hint="default" w:eastAsia="仿宋"/>
          <w:highlight w:val="none"/>
          <w:lang w:val="en-US" w:eastAsia="zh-CN"/>
        </w:rPr>
      </w:pPr>
      <w:r>
        <w:rPr>
          <w:rFonts w:ascii="仿宋" w:hAnsi="仿宋" w:eastAsia="仿宋" w:cs="仿宋"/>
          <w:sz w:val="32"/>
          <w:szCs w:val="32"/>
          <w:highlight w:val="none"/>
        </w:rPr>
        <w:t>项目总费用不超过50万元，包含技术服务期内所有服务费用，包括但不限于电子招投标交易系统技术服务、</w:t>
      </w:r>
      <w:r>
        <w:rPr>
          <w:rFonts w:hint="eastAsia" w:ascii="仿宋" w:hAnsi="仿宋" w:eastAsia="仿宋" w:cs="仿宋"/>
          <w:sz w:val="32"/>
          <w:szCs w:val="32"/>
          <w:highlight w:val="none"/>
          <w:lang w:val="en-US" w:eastAsia="zh-CN"/>
        </w:rPr>
        <w:t>等保测评服务、</w:t>
      </w:r>
      <w:r>
        <w:rPr>
          <w:rFonts w:ascii="仿宋" w:hAnsi="仿宋" w:eastAsia="仿宋" w:cs="仿宋"/>
          <w:sz w:val="32"/>
          <w:szCs w:val="32"/>
          <w:highlight w:val="none"/>
        </w:rPr>
        <w:t>视频会商软件服务、专家</w:t>
      </w:r>
      <w:r>
        <w:rPr>
          <w:rStyle w:val="12"/>
          <w:rFonts w:ascii="仿宋" w:hAnsi="仿宋" w:eastAsia="仿宋" w:cs="仿宋"/>
          <w:sz w:val="32"/>
          <w:szCs w:val="32"/>
          <w:highlight w:val="none"/>
        </w:rPr>
        <w:t>电签</w:t>
      </w:r>
      <w:r>
        <w:rPr>
          <w:rFonts w:ascii="仿宋" w:hAnsi="仿宋" w:eastAsia="仿宋" w:cs="仿宋"/>
          <w:sz w:val="32"/>
          <w:szCs w:val="32"/>
          <w:highlight w:val="none"/>
        </w:rPr>
        <w:t>服务、开标视频直播服务、企业客服及税费等各类费用。</w:t>
      </w:r>
      <w:r>
        <w:rPr>
          <w:rFonts w:hint="eastAsia" w:ascii="仿宋" w:hAnsi="仿宋" w:eastAsia="仿宋" w:cs="仿宋"/>
          <w:sz w:val="32"/>
          <w:szCs w:val="32"/>
          <w:highlight w:val="none"/>
          <w:lang w:val="en-US" w:eastAsia="zh-CN"/>
        </w:rPr>
        <w:t xml:space="preserve">若合同提前终止，费用按实际履约天数结算。 </w:t>
      </w:r>
    </w:p>
    <w:p>
      <w:pPr>
        <w:keepLines w:val="0"/>
        <w:pageBreakBefore w:val="0"/>
        <w:widowControl/>
        <w:shd w:val="clear"/>
        <w:kinsoku/>
        <w:wordWrap/>
        <w:overflowPunct/>
        <w:topLinePunct w:val="0"/>
        <w:autoSpaceDE/>
        <w:autoSpaceDN/>
        <w:bidi w:val="0"/>
        <w:adjustRightInd/>
        <w:snapToGrid/>
        <w:spacing w:line="580" w:lineRule="exact"/>
        <w:ind w:firstLine="645"/>
        <w:textAlignment w:val="auto"/>
        <w:rPr>
          <w:highlight w:val="none"/>
        </w:rPr>
      </w:pPr>
      <w:r>
        <w:rPr>
          <w:rFonts w:ascii="楷体" w:hAnsi="楷体" w:eastAsia="楷体" w:cs="楷体"/>
          <w:sz w:val="32"/>
          <w:szCs w:val="32"/>
          <w:highlight w:val="none"/>
        </w:rPr>
        <w:t>（五）技术服务范围</w:t>
      </w:r>
    </w:p>
    <w:p>
      <w:pPr>
        <w:keepLines w:val="0"/>
        <w:pageBreakBefore w:val="0"/>
        <w:widowControl/>
        <w:shd w:val="clear"/>
        <w:kinsoku/>
        <w:wordWrap/>
        <w:overflowPunct/>
        <w:topLinePunct w:val="0"/>
        <w:autoSpaceDE/>
        <w:autoSpaceDN/>
        <w:bidi w:val="0"/>
        <w:adjustRightInd/>
        <w:snapToGrid/>
        <w:spacing w:line="580" w:lineRule="exact"/>
        <w:ind w:firstLine="645"/>
        <w:textAlignment w:val="auto"/>
        <w:rPr>
          <w:highlight w:val="none"/>
        </w:rPr>
      </w:pPr>
      <w:r>
        <w:rPr>
          <w:rFonts w:ascii="仿宋" w:hAnsi="仿宋" w:eastAsia="仿宋" w:cs="仿宋"/>
          <w:sz w:val="32"/>
          <w:szCs w:val="32"/>
          <w:highlight w:val="none"/>
        </w:rPr>
        <w:t>提供福州市本级</w:t>
      </w:r>
      <w:r>
        <w:rPr>
          <w:rStyle w:val="16"/>
          <w:rFonts w:ascii="仿宋" w:hAnsi="仿宋" w:eastAsia="仿宋" w:cs="仿宋"/>
          <w:sz w:val="32"/>
          <w:szCs w:val="32"/>
          <w:highlight w:val="none"/>
        </w:rPr>
        <w:t>（</w:t>
      </w:r>
      <w:r>
        <w:rPr>
          <w:rFonts w:ascii="仿宋" w:hAnsi="仿宋" w:eastAsia="仿宋" w:cs="仿宋"/>
          <w:sz w:val="32"/>
          <w:szCs w:val="32"/>
          <w:highlight w:val="none"/>
        </w:rPr>
        <w:t>含鼓楼、台江、</w:t>
      </w:r>
      <w:r>
        <w:rPr>
          <w:rStyle w:val="12"/>
          <w:rFonts w:ascii="仿宋" w:hAnsi="仿宋" w:eastAsia="仿宋" w:cs="仿宋"/>
          <w:sz w:val="32"/>
          <w:szCs w:val="32"/>
          <w:highlight w:val="none"/>
        </w:rPr>
        <w:t>仓山</w:t>
      </w:r>
      <w:r>
        <w:rPr>
          <w:rFonts w:ascii="仿宋" w:hAnsi="仿宋" w:eastAsia="仿宋" w:cs="仿宋"/>
          <w:sz w:val="32"/>
          <w:szCs w:val="32"/>
          <w:highlight w:val="none"/>
        </w:rPr>
        <w:t>、晋安、高新区</w:t>
      </w:r>
      <w:r>
        <w:rPr>
          <w:rStyle w:val="18"/>
          <w:rFonts w:ascii="仿宋" w:hAnsi="仿宋" w:eastAsia="仿宋" w:cs="仿宋"/>
          <w:sz w:val="32"/>
          <w:szCs w:val="32"/>
          <w:highlight w:val="none"/>
        </w:rPr>
        <w:t>）</w:t>
      </w:r>
      <w:r>
        <w:rPr>
          <w:rFonts w:ascii="仿宋" w:hAnsi="仿宋" w:eastAsia="仿宋" w:cs="仿宋"/>
          <w:sz w:val="32"/>
          <w:szCs w:val="32"/>
          <w:highlight w:val="none"/>
        </w:rPr>
        <w:t>及省级项目电子招投标项目平台使用和技术服务。</w:t>
      </w:r>
    </w:p>
    <w:p>
      <w:pPr>
        <w:pStyle w:val="2"/>
        <w:keepLines w:val="0"/>
        <w:pageBreakBefore w:val="0"/>
        <w:widowControl/>
        <w:shd w:val="clear"/>
        <w:kinsoku/>
        <w:wordWrap/>
        <w:overflowPunct/>
        <w:topLinePunct w:val="0"/>
        <w:autoSpaceDE/>
        <w:autoSpaceDN/>
        <w:bidi w:val="0"/>
        <w:adjustRightInd/>
        <w:snapToGrid/>
        <w:spacing w:before="0" w:after="0" w:line="580" w:lineRule="exact"/>
        <w:ind w:firstLine="645"/>
        <w:textAlignment w:val="auto"/>
        <w:outlineLvl w:val="1"/>
        <w:rPr>
          <w:i w:val="0"/>
          <w:iCs w:val="0"/>
          <w:highlight w:val="none"/>
        </w:rPr>
      </w:pPr>
      <w:r>
        <w:rPr>
          <w:rFonts w:ascii="黑体" w:hAnsi="黑体" w:eastAsia="黑体" w:cs="黑体"/>
          <w:b/>
          <w:bCs/>
          <w:i w:val="0"/>
          <w:iCs w:val="0"/>
          <w:sz w:val="32"/>
          <w:szCs w:val="32"/>
          <w:highlight w:val="none"/>
        </w:rPr>
        <w:t>二、</w:t>
      </w:r>
      <w:r>
        <w:rPr>
          <w:rFonts w:ascii="黑体" w:hAnsi="黑体" w:eastAsia="黑体" w:cs="黑体"/>
          <w:i w:val="0"/>
          <w:iCs w:val="0"/>
          <w:sz w:val="32"/>
          <w:szCs w:val="32"/>
          <w:highlight w:val="none"/>
        </w:rPr>
        <w:t>平台基础服务需求</w:t>
      </w:r>
    </w:p>
    <w:p>
      <w:pPr>
        <w:pStyle w:val="3"/>
        <w:keepLines w:val="0"/>
        <w:pageBreakBefore w:val="0"/>
        <w:widowControl/>
        <w:shd w:val="clear"/>
        <w:kinsoku/>
        <w:wordWrap/>
        <w:overflowPunct/>
        <w:topLinePunct w:val="0"/>
        <w:autoSpaceDE/>
        <w:autoSpaceDN/>
        <w:bidi w:val="0"/>
        <w:adjustRightInd/>
        <w:snapToGrid/>
        <w:spacing w:before="0" w:after="0" w:line="580" w:lineRule="exact"/>
        <w:ind w:left="0" w:firstLine="540"/>
        <w:textAlignment w:val="auto"/>
        <w:outlineLvl w:val="2"/>
        <w:rPr>
          <w:highlight w:val="none"/>
        </w:rPr>
      </w:pPr>
      <w:r>
        <w:rPr>
          <w:rFonts w:ascii="楷体" w:hAnsi="楷体" w:eastAsia="楷体" w:cs="楷体"/>
          <w:b w:val="0"/>
          <w:bCs w:val="0"/>
          <w:sz w:val="29"/>
          <w:szCs w:val="29"/>
          <w:highlight w:val="none"/>
        </w:rPr>
        <w:t>（一）</w:t>
      </w:r>
      <w:r>
        <w:rPr>
          <w:rFonts w:ascii="楷体" w:hAnsi="楷体" w:eastAsia="楷体" w:cs="楷体"/>
          <w:b w:val="0"/>
          <w:bCs w:val="0"/>
          <w:sz w:val="32"/>
          <w:szCs w:val="32"/>
          <w:highlight w:val="none"/>
        </w:rPr>
        <w:t>公共资源电子交易要素覆盖</w:t>
      </w:r>
    </w:p>
    <w:p>
      <w:pPr>
        <w:pStyle w:val="4"/>
        <w:keepLines w:val="0"/>
        <w:pageBreakBefore w:val="0"/>
        <w:widowControl/>
        <w:shd w:val="clear"/>
        <w:kinsoku/>
        <w:wordWrap/>
        <w:overflowPunct/>
        <w:topLinePunct w:val="0"/>
        <w:autoSpaceDE/>
        <w:autoSpaceDN/>
        <w:bidi w:val="0"/>
        <w:adjustRightInd/>
        <w:snapToGrid/>
        <w:spacing w:before="0" w:line="580" w:lineRule="exact"/>
        <w:ind w:firstLine="645"/>
        <w:textAlignment w:val="auto"/>
        <w:outlineLvl w:val="3"/>
        <w:rPr>
          <w:highlight w:val="none"/>
        </w:rPr>
      </w:pPr>
      <w:r>
        <w:rPr>
          <w:rFonts w:ascii="仿宋" w:hAnsi="仿宋" w:eastAsia="仿宋" w:cs="仿宋"/>
          <w:sz w:val="32"/>
          <w:szCs w:val="32"/>
          <w:highlight w:val="none"/>
        </w:rPr>
        <w:t>1.工程建设一网交易整合</w:t>
      </w:r>
    </w:p>
    <w:p>
      <w:pPr>
        <w:keepLines w:val="0"/>
        <w:pageBreakBefore w:val="0"/>
        <w:widowControl/>
        <w:shd w:val="clear"/>
        <w:kinsoku/>
        <w:wordWrap/>
        <w:overflowPunct/>
        <w:topLinePunct w:val="0"/>
        <w:autoSpaceDE/>
        <w:autoSpaceDN/>
        <w:bidi w:val="0"/>
        <w:adjustRightInd/>
        <w:snapToGrid/>
        <w:spacing w:line="580" w:lineRule="exact"/>
        <w:ind w:firstLine="645"/>
        <w:textAlignment w:val="auto"/>
        <w:rPr>
          <w:highlight w:val="none"/>
        </w:rPr>
      </w:pPr>
      <w:r>
        <w:rPr>
          <w:rFonts w:ascii="仿宋" w:hAnsi="仿宋" w:eastAsia="仿宋" w:cs="仿宋"/>
          <w:sz w:val="32"/>
          <w:szCs w:val="32"/>
          <w:highlight w:val="none"/>
        </w:rPr>
        <w:t>根据福建省“公共资源一网交易”工作实施方案和福建省公共资源交易中心通知要求，对照工作实施方案和《福建省公共资源一网交易平台视觉设计规范》做好平台相关功能改造；对接一网交易移动端（</w:t>
      </w:r>
      <w:r>
        <w:rPr>
          <w:rStyle w:val="12"/>
          <w:rFonts w:ascii="仿宋" w:hAnsi="仿宋" w:eastAsia="仿宋" w:cs="仿宋"/>
          <w:sz w:val="32"/>
          <w:szCs w:val="32"/>
          <w:highlight w:val="none"/>
        </w:rPr>
        <w:t>易企</w:t>
      </w:r>
      <w:r>
        <w:rPr>
          <w:rFonts w:ascii="仿宋" w:hAnsi="仿宋" w:eastAsia="仿宋" w:cs="仿宋"/>
          <w:sz w:val="32"/>
          <w:szCs w:val="32"/>
          <w:highlight w:val="none"/>
        </w:rPr>
        <w:t>交易），推送有关数据。</w:t>
      </w:r>
    </w:p>
    <w:p>
      <w:pPr>
        <w:pStyle w:val="4"/>
        <w:keepLines w:val="0"/>
        <w:pageBreakBefore w:val="0"/>
        <w:widowControl/>
        <w:shd w:val="clear"/>
        <w:kinsoku/>
        <w:wordWrap/>
        <w:overflowPunct/>
        <w:topLinePunct w:val="0"/>
        <w:autoSpaceDE/>
        <w:autoSpaceDN/>
        <w:bidi w:val="0"/>
        <w:adjustRightInd/>
        <w:snapToGrid/>
        <w:spacing w:before="0" w:line="580" w:lineRule="exact"/>
        <w:ind w:firstLine="645"/>
        <w:textAlignment w:val="auto"/>
        <w:outlineLvl w:val="3"/>
        <w:rPr>
          <w:highlight w:val="none"/>
        </w:rPr>
      </w:pPr>
      <w:r>
        <w:rPr>
          <w:rFonts w:ascii="仿宋" w:hAnsi="仿宋" w:eastAsia="仿宋" w:cs="仿宋"/>
          <w:sz w:val="32"/>
          <w:szCs w:val="32"/>
          <w:highlight w:val="none"/>
        </w:rPr>
        <w:t>2.工程造价数据交换导则更新</w:t>
      </w:r>
    </w:p>
    <w:p>
      <w:pPr>
        <w:keepLines w:val="0"/>
        <w:pageBreakBefore w:val="0"/>
        <w:widowControl/>
        <w:shd w:val="clear"/>
        <w:kinsoku/>
        <w:wordWrap/>
        <w:overflowPunct/>
        <w:topLinePunct w:val="0"/>
        <w:autoSpaceDE/>
        <w:autoSpaceDN/>
        <w:bidi w:val="0"/>
        <w:adjustRightInd/>
        <w:snapToGrid/>
        <w:spacing w:line="580" w:lineRule="exact"/>
        <w:ind w:firstLine="645"/>
        <w:textAlignment w:val="auto"/>
        <w:rPr>
          <w:highlight w:val="none"/>
        </w:rPr>
      </w:pPr>
      <w:r>
        <w:rPr>
          <w:rFonts w:ascii="仿宋" w:hAnsi="仿宋" w:eastAsia="仿宋" w:cs="仿宋"/>
          <w:sz w:val="32"/>
          <w:szCs w:val="32"/>
          <w:highlight w:val="none"/>
        </w:rPr>
        <w:t>根据国家或福建省发布的工程造价规范文件对系统进行更新升级。对投标计价清单编制异常行为分析进行高效管理，针对投标人投标计价清单文件进行大数据分析，按项目输出工程造价分析报告，供监管部门、福州市公共资源交易服务中心（以下简称“交易中心”）和评标专家进行查阅。</w:t>
      </w:r>
    </w:p>
    <w:p>
      <w:pPr>
        <w:pStyle w:val="4"/>
        <w:keepLines w:val="0"/>
        <w:pageBreakBefore w:val="0"/>
        <w:widowControl/>
        <w:shd w:val="clear"/>
        <w:kinsoku/>
        <w:wordWrap/>
        <w:overflowPunct/>
        <w:topLinePunct w:val="0"/>
        <w:autoSpaceDE/>
        <w:autoSpaceDN/>
        <w:bidi w:val="0"/>
        <w:adjustRightInd/>
        <w:snapToGrid/>
        <w:spacing w:before="0" w:line="580" w:lineRule="exact"/>
        <w:ind w:firstLine="645"/>
        <w:textAlignment w:val="auto"/>
        <w:outlineLvl w:val="3"/>
        <w:rPr>
          <w:highlight w:val="none"/>
        </w:rPr>
      </w:pPr>
      <w:r>
        <w:rPr>
          <w:rFonts w:ascii="仿宋" w:hAnsi="仿宋" w:eastAsia="仿宋" w:cs="仿宋"/>
          <w:sz w:val="32"/>
          <w:szCs w:val="32"/>
          <w:highlight w:val="none"/>
        </w:rPr>
        <w:t>3.移动数字证书（CA）互认提升改造</w:t>
      </w:r>
    </w:p>
    <w:p>
      <w:pPr>
        <w:keepLines w:val="0"/>
        <w:pageBreakBefore w:val="0"/>
        <w:widowControl/>
        <w:shd w:val="clear"/>
        <w:kinsoku/>
        <w:wordWrap/>
        <w:overflowPunct/>
        <w:topLinePunct w:val="0"/>
        <w:autoSpaceDE/>
        <w:autoSpaceDN/>
        <w:bidi w:val="0"/>
        <w:adjustRightInd/>
        <w:snapToGrid/>
        <w:spacing w:line="580" w:lineRule="exact"/>
        <w:ind w:firstLine="645"/>
        <w:textAlignment w:val="auto"/>
        <w:rPr>
          <w:highlight w:val="none"/>
        </w:rPr>
      </w:pPr>
      <w:r>
        <w:rPr>
          <w:rFonts w:ascii="仿宋" w:hAnsi="仿宋" w:eastAsia="仿宋" w:cs="仿宋"/>
          <w:sz w:val="32"/>
          <w:szCs w:val="32"/>
          <w:highlight w:val="none"/>
        </w:rPr>
        <w:t>按照</w:t>
      </w:r>
      <w:r>
        <w:rPr>
          <w:rStyle w:val="20"/>
          <w:rFonts w:ascii="仿宋" w:hAnsi="仿宋" w:eastAsia="仿宋" w:cs="仿宋"/>
          <w:sz w:val="32"/>
          <w:szCs w:val="32"/>
          <w:highlight w:val="none"/>
        </w:rPr>
        <w:t>国家发展改革委</w:t>
      </w:r>
      <w:r>
        <w:rPr>
          <w:rFonts w:ascii="仿宋" w:hAnsi="仿宋" w:eastAsia="仿宋" w:cs="仿宋"/>
          <w:sz w:val="32"/>
          <w:szCs w:val="32"/>
          <w:highlight w:val="none"/>
        </w:rPr>
        <w:t>和省发展改革委要求，集成国家移动数字证书（CA）互认组件，实现移动数字证书（CA）互认登录、注册，实现交易系统、标书制作、开标系统、评标系统移动数字证书（CA）互认签章，实现投标文件移动数字证书（CA）互认加密、解密。</w:t>
      </w:r>
    </w:p>
    <w:p>
      <w:pPr>
        <w:pStyle w:val="4"/>
        <w:keepLines w:val="0"/>
        <w:pageBreakBefore w:val="0"/>
        <w:widowControl/>
        <w:shd w:val="clear"/>
        <w:kinsoku/>
        <w:wordWrap/>
        <w:overflowPunct/>
        <w:topLinePunct w:val="0"/>
        <w:autoSpaceDE/>
        <w:autoSpaceDN/>
        <w:bidi w:val="0"/>
        <w:adjustRightInd/>
        <w:snapToGrid/>
        <w:spacing w:before="0" w:line="580" w:lineRule="exact"/>
        <w:ind w:firstLine="645"/>
        <w:textAlignment w:val="auto"/>
        <w:outlineLvl w:val="3"/>
        <w:rPr>
          <w:highlight w:val="none"/>
        </w:rPr>
      </w:pPr>
      <w:r>
        <w:rPr>
          <w:rFonts w:ascii="仿宋" w:hAnsi="仿宋" w:eastAsia="仿宋" w:cs="仿宋"/>
          <w:sz w:val="32"/>
          <w:szCs w:val="32"/>
          <w:highlight w:val="none"/>
        </w:rPr>
        <w:t>4.远程异地评标技术标准提升改造</w:t>
      </w:r>
    </w:p>
    <w:p>
      <w:pPr>
        <w:keepLines w:val="0"/>
        <w:pageBreakBefore w:val="0"/>
        <w:widowControl/>
        <w:shd w:val="clear"/>
        <w:kinsoku/>
        <w:wordWrap/>
        <w:overflowPunct/>
        <w:topLinePunct w:val="0"/>
        <w:autoSpaceDE/>
        <w:autoSpaceDN/>
        <w:bidi w:val="0"/>
        <w:adjustRightInd/>
        <w:snapToGrid/>
        <w:spacing w:line="580" w:lineRule="exact"/>
        <w:ind w:firstLine="645"/>
        <w:textAlignment w:val="auto"/>
        <w:rPr>
          <w:highlight w:val="none"/>
        </w:rPr>
      </w:pPr>
      <w:r>
        <w:rPr>
          <w:rFonts w:ascii="仿宋" w:hAnsi="仿宋" w:eastAsia="仿宋" w:cs="仿宋"/>
          <w:sz w:val="32"/>
          <w:szCs w:val="32"/>
          <w:highlight w:val="none"/>
        </w:rPr>
        <w:t>根据国家或福建省发布的远程异地评标技术标准，对交易系统进行升级改造。</w:t>
      </w:r>
    </w:p>
    <w:p>
      <w:pPr>
        <w:pStyle w:val="4"/>
        <w:keepLines w:val="0"/>
        <w:pageBreakBefore w:val="0"/>
        <w:widowControl/>
        <w:shd w:val="clear"/>
        <w:kinsoku/>
        <w:wordWrap/>
        <w:overflowPunct/>
        <w:topLinePunct w:val="0"/>
        <w:autoSpaceDE/>
        <w:autoSpaceDN/>
        <w:bidi w:val="0"/>
        <w:adjustRightInd/>
        <w:snapToGrid/>
        <w:spacing w:before="0" w:line="580" w:lineRule="exact"/>
        <w:ind w:firstLine="645"/>
        <w:textAlignment w:val="auto"/>
        <w:outlineLvl w:val="3"/>
        <w:rPr>
          <w:highlight w:val="none"/>
        </w:rPr>
      </w:pPr>
      <w:r>
        <w:rPr>
          <w:rFonts w:ascii="仿宋" w:hAnsi="仿宋" w:eastAsia="仿宋" w:cs="仿宋"/>
          <w:sz w:val="32"/>
          <w:szCs w:val="32"/>
          <w:highlight w:val="none"/>
        </w:rPr>
        <w:t>5.根据省市招投标监管部门及交易中心要求，以及不定期出台的最新的政策与法规，提供相应的</w:t>
      </w:r>
      <w:r>
        <w:rPr>
          <w:rFonts w:hint="eastAsia" w:ascii="仿宋" w:hAnsi="仿宋" w:eastAsia="仿宋" w:cs="仿宋"/>
          <w:sz w:val="32"/>
          <w:szCs w:val="32"/>
          <w:highlight w:val="none"/>
          <w:lang w:val="en-US" w:eastAsia="zh-CN"/>
        </w:rPr>
        <w:t>功能调整和范本</w:t>
      </w:r>
      <w:r>
        <w:rPr>
          <w:rFonts w:ascii="仿宋" w:hAnsi="仿宋" w:eastAsia="仿宋" w:cs="仿宋"/>
          <w:sz w:val="32"/>
          <w:szCs w:val="32"/>
          <w:highlight w:val="none"/>
        </w:rPr>
        <w:t>更新服务。</w:t>
      </w:r>
    </w:p>
    <w:p>
      <w:pPr>
        <w:pStyle w:val="3"/>
        <w:keepLines w:val="0"/>
        <w:pageBreakBefore w:val="0"/>
        <w:widowControl/>
        <w:shd w:val="clear"/>
        <w:kinsoku/>
        <w:wordWrap/>
        <w:overflowPunct/>
        <w:topLinePunct w:val="0"/>
        <w:autoSpaceDE/>
        <w:autoSpaceDN/>
        <w:bidi w:val="0"/>
        <w:adjustRightInd/>
        <w:snapToGrid/>
        <w:spacing w:before="0" w:after="0" w:line="580" w:lineRule="exact"/>
        <w:ind w:left="0" w:firstLine="540"/>
        <w:textAlignment w:val="auto"/>
        <w:outlineLvl w:val="2"/>
        <w:rPr>
          <w:highlight w:val="none"/>
        </w:rPr>
      </w:pPr>
      <w:r>
        <w:rPr>
          <w:rFonts w:ascii="楷体" w:hAnsi="楷体" w:eastAsia="楷体" w:cs="楷体"/>
          <w:b w:val="0"/>
          <w:bCs w:val="0"/>
          <w:sz w:val="29"/>
          <w:szCs w:val="29"/>
          <w:highlight w:val="none"/>
        </w:rPr>
        <w:t>（二）</w:t>
      </w:r>
      <w:r>
        <w:rPr>
          <w:rFonts w:ascii="楷体" w:hAnsi="楷体" w:eastAsia="楷体" w:cs="楷体"/>
          <w:b w:val="0"/>
          <w:bCs w:val="0"/>
          <w:sz w:val="32"/>
          <w:szCs w:val="32"/>
          <w:highlight w:val="none"/>
        </w:rPr>
        <w:t>综合管理系统</w:t>
      </w:r>
    </w:p>
    <w:p>
      <w:pPr>
        <w:pStyle w:val="4"/>
        <w:keepLines w:val="0"/>
        <w:pageBreakBefore w:val="0"/>
        <w:widowControl/>
        <w:shd w:val="clear"/>
        <w:kinsoku/>
        <w:wordWrap/>
        <w:overflowPunct/>
        <w:topLinePunct w:val="0"/>
        <w:autoSpaceDE/>
        <w:autoSpaceDN/>
        <w:bidi w:val="0"/>
        <w:adjustRightInd/>
        <w:snapToGrid/>
        <w:spacing w:before="0" w:line="580" w:lineRule="exact"/>
        <w:ind w:firstLine="645"/>
        <w:textAlignment w:val="auto"/>
        <w:outlineLvl w:val="3"/>
        <w:rPr>
          <w:highlight w:val="none"/>
        </w:rPr>
      </w:pPr>
      <w:r>
        <w:rPr>
          <w:rFonts w:ascii="仿宋" w:hAnsi="仿宋" w:eastAsia="仿宋" w:cs="仿宋"/>
          <w:sz w:val="32"/>
          <w:szCs w:val="32"/>
          <w:highlight w:val="none"/>
        </w:rPr>
        <w:t>1.专家履职评价</w:t>
      </w:r>
    </w:p>
    <w:p>
      <w:pPr>
        <w:keepLines w:val="0"/>
        <w:pageBreakBefore w:val="0"/>
        <w:widowControl/>
        <w:shd w:val="clear"/>
        <w:kinsoku/>
        <w:wordWrap/>
        <w:overflowPunct/>
        <w:topLinePunct w:val="0"/>
        <w:autoSpaceDE/>
        <w:autoSpaceDN/>
        <w:bidi w:val="0"/>
        <w:adjustRightInd/>
        <w:snapToGrid/>
        <w:spacing w:line="580" w:lineRule="exact"/>
        <w:ind w:firstLine="645"/>
        <w:textAlignment w:val="auto"/>
        <w:rPr>
          <w:highlight w:val="none"/>
        </w:rPr>
      </w:pPr>
      <w:r>
        <w:rPr>
          <w:rFonts w:ascii="仿宋" w:hAnsi="仿宋" w:eastAsia="仿宋" w:cs="仿宋"/>
          <w:sz w:val="32"/>
          <w:szCs w:val="32"/>
          <w:highlight w:val="none"/>
        </w:rPr>
        <w:t>根据福建省公共资源交易中心已发布的《关于试行“福建省公共资源交易平台数据安全标准”“福建省工程招投标评标技术标准”“福建省综合评标专家评标履职评价操作规程（公共资源交易中心操作部分）”的通知》以及不定期出台的最新的评标专家履职评价规则，对评标专家履职评价功能进行优化升级。</w:t>
      </w:r>
    </w:p>
    <w:p>
      <w:pPr>
        <w:pStyle w:val="4"/>
        <w:keepLines w:val="0"/>
        <w:pageBreakBefore w:val="0"/>
        <w:widowControl/>
        <w:shd w:val="clear"/>
        <w:kinsoku/>
        <w:wordWrap/>
        <w:overflowPunct/>
        <w:topLinePunct w:val="0"/>
        <w:autoSpaceDE/>
        <w:autoSpaceDN/>
        <w:bidi w:val="0"/>
        <w:adjustRightInd/>
        <w:snapToGrid/>
        <w:spacing w:before="0" w:line="580" w:lineRule="exact"/>
        <w:ind w:firstLine="645"/>
        <w:textAlignment w:val="auto"/>
        <w:outlineLvl w:val="3"/>
        <w:rPr>
          <w:highlight w:val="none"/>
        </w:rPr>
      </w:pPr>
      <w:r>
        <w:rPr>
          <w:rFonts w:ascii="仿宋" w:hAnsi="仿宋" w:eastAsia="仿宋" w:cs="仿宋"/>
          <w:sz w:val="32"/>
          <w:szCs w:val="32"/>
          <w:highlight w:val="none"/>
        </w:rPr>
        <w:t>2.电子合同签订系统升级开发服务</w:t>
      </w:r>
    </w:p>
    <w:p>
      <w:pPr>
        <w:keepLines w:val="0"/>
        <w:pageBreakBefore w:val="0"/>
        <w:widowControl/>
        <w:shd w:val="clear"/>
        <w:kinsoku/>
        <w:wordWrap/>
        <w:overflowPunct/>
        <w:topLinePunct w:val="0"/>
        <w:autoSpaceDE/>
        <w:autoSpaceDN/>
        <w:bidi w:val="0"/>
        <w:adjustRightInd/>
        <w:snapToGrid/>
        <w:spacing w:line="580" w:lineRule="exact"/>
        <w:ind w:firstLine="645"/>
        <w:textAlignment w:val="auto"/>
        <w:rPr>
          <w:highlight w:val="none"/>
        </w:rPr>
      </w:pPr>
      <w:r>
        <w:rPr>
          <w:rFonts w:ascii="仿宋" w:hAnsi="仿宋" w:eastAsia="仿宋" w:cs="仿宋"/>
          <w:sz w:val="32"/>
          <w:szCs w:val="32"/>
          <w:highlight w:val="none"/>
        </w:rPr>
        <w:t>对电子合同签订系统进行优化升级，集成福建省社会数字证书公共管理系统签章功能，实现不同厂商CA证书可在同一份合同文件上签章并可对签章进行验证。</w:t>
      </w:r>
    </w:p>
    <w:p>
      <w:pPr>
        <w:pStyle w:val="4"/>
        <w:keepLines w:val="0"/>
        <w:pageBreakBefore w:val="0"/>
        <w:widowControl/>
        <w:shd w:val="clear"/>
        <w:kinsoku/>
        <w:wordWrap/>
        <w:overflowPunct/>
        <w:topLinePunct w:val="0"/>
        <w:autoSpaceDE/>
        <w:autoSpaceDN/>
        <w:bidi w:val="0"/>
        <w:adjustRightInd/>
        <w:snapToGrid/>
        <w:spacing w:before="0" w:line="580" w:lineRule="exact"/>
        <w:ind w:firstLine="645"/>
        <w:textAlignment w:val="auto"/>
        <w:outlineLvl w:val="3"/>
        <w:rPr>
          <w:highlight w:val="none"/>
        </w:rPr>
      </w:pPr>
      <w:r>
        <w:rPr>
          <w:rFonts w:ascii="仿宋" w:hAnsi="仿宋" w:eastAsia="仿宋" w:cs="仿宋"/>
          <w:sz w:val="32"/>
          <w:szCs w:val="32"/>
          <w:highlight w:val="none"/>
        </w:rPr>
        <w:t>3.保证金管理系统</w:t>
      </w:r>
    </w:p>
    <w:p>
      <w:pPr>
        <w:keepLines w:val="0"/>
        <w:pageBreakBefore w:val="0"/>
        <w:widowControl/>
        <w:shd w:val="clear"/>
        <w:kinsoku/>
        <w:wordWrap/>
        <w:overflowPunct/>
        <w:topLinePunct w:val="0"/>
        <w:autoSpaceDE/>
        <w:autoSpaceDN/>
        <w:bidi w:val="0"/>
        <w:adjustRightInd/>
        <w:snapToGrid/>
        <w:spacing w:line="580" w:lineRule="exact"/>
        <w:ind w:firstLine="645"/>
        <w:textAlignment w:val="auto"/>
        <w:rPr>
          <w:highlight w:val="none"/>
        </w:rPr>
      </w:pPr>
      <w:r>
        <w:rPr>
          <w:rFonts w:ascii="仿宋" w:hAnsi="仿宋" w:eastAsia="仿宋" w:cs="仿宋"/>
          <w:sz w:val="32"/>
          <w:szCs w:val="32"/>
          <w:highlight w:val="none"/>
        </w:rPr>
        <w:t>实现投标保证金在线缴纳，主账户、虚拟子账户管理，保证金退款（单笔、批量）等功能。保证金系统后台自动获取招标项目信息并按照标段自动生成虚拟子账户，投标人在线缴纳保证金，在开标时开标系统自动获取保证金到账情况，项目定标后自动退还中标人与未中标人的保证金。</w:t>
      </w:r>
    </w:p>
    <w:p>
      <w:pPr>
        <w:pStyle w:val="3"/>
        <w:keepLines w:val="0"/>
        <w:pageBreakBefore w:val="0"/>
        <w:widowControl/>
        <w:shd w:val="clear"/>
        <w:kinsoku/>
        <w:wordWrap/>
        <w:overflowPunct/>
        <w:topLinePunct w:val="0"/>
        <w:autoSpaceDE/>
        <w:autoSpaceDN/>
        <w:bidi w:val="0"/>
        <w:adjustRightInd/>
        <w:snapToGrid/>
        <w:spacing w:before="0" w:after="0" w:line="580" w:lineRule="exact"/>
        <w:ind w:left="0" w:firstLine="540"/>
        <w:textAlignment w:val="auto"/>
        <w:outlineLvl w:val="2"/>
        <w:rPr>
          <w:highlight w:val="none"/>
        </w:rPr>
      </w:pPr>
      <w:r>
        <w:rPr>
          <w:rFonts w:ascii="楷体" w:hAnsi="楷体" w:eastAsia="楷体" w:cs="楷体"/>
          <w:b w:val="0"/>
          <w:bCs w:val="0"/>
          <w:sz w:val="29"/>
          <w:szCs w:val="29"/>
          <w:highlight w:val="none"/>
        </w:rPr>
        <w:t>（三）</w:t>
      </w:r>
      <w:r>
        <w:rPr>
          <w:rFonts w:ascii="楷体" w:hAnsi="楷体" w:eastAsia="楷体" w:cs="楷体"/>
          <w:b w:val="0"/>
          <w:bCs w:val="0"/>
          <w:sz w:val="32"/>
          <w:szCs w:val="32"/>
          <w:highlight w:val="none"/>
        </w:rPr>
        <w:t>系统对接</w:t>
      </w:r>
    </w:p>
    <w:p>
      <w:pPr>
        <w:pStyle w:val="4"/>
        <w:keepLines w:val="0"/>
        <w:pageBreakBefore w:val="0"/>
        <w:widowControl/>
        <w:shd w:val="clear"/>
        <w:kinsoku/>
        <w:wordWrap/>
        <w:overflowPunct/>
        <w:topLinePunct w:val="0"/>
        <w:autoSpaceDE/>
        <w:autoSpaceDN/>
        <w:bidi w:val="0"/>
        <w:adjustRightInd/>
        <w:snapToGrid/>
        <w:spacing w:before="0" w:line="580" w:lineRule="exact"/>
        <w:ind w:firstLine="645"/>
        <w:textAlignment w:val="auto"/>
        <w:outlineLvl w:val="3"/>
        <w:rPr>
          <w:highlight w:val="none"/>
        </w:rPr>
      </w:pPr>
      <w:r>
        <w:rPr>
          <w:rFonts w:ascii="仿宋" w:hAnsi="仿宋" w:eastAsia="仿宋" w:cs="仿宋"/>
          <w:sz w:val="32"/>
          <w:szCs w:val="32"/>
          <w:highlight w:val="none"/>
        </w:rPr>
        <w:t>1.持续开展省级系统对接工作</w:t>
      </w:r>
    </w:p>
    <w:p>
      <w:pPr>
        <w:keepLines w:val="0"/>
        <w:pageBreakBefore w:val="0"/>
        <w:widowControl/>
        <w:shd w:val="clear"/>
        <w:kinsoku/>
        <w:wordWrap/>
        <w:overflowPunct/>
        <w:topLinePunct w:val="0"/>
        <w:autoSpaceDE/>
        <w:autoSpaceDN/>
        <w:bidi w:val="0"/>
        <w:adjustRightInd/>
        <w:snapToGrid/>
        <w:spacing w:line="580" w:lineRule="exact"/>
        <w:ind w:firstLine="645"/>
        <w:textAlignment w:val="auto"/>
        <w:rPr>
          <w:highlight w:val="none"/>
        </w:rPr>
      </w:pPr>
      <w:r>
        <w:rPr>
          <w:rFonts w:ascii="仿宋" w:hAnsi="仿宋" w:eastAsia="仿宋" w:cs="仿宋"/>
          <w:sz w:val="32"/>
          <w:szCs w:val="32"/>
          <w:highlight w:val="none"/>
        </w:rPr>
        <w:t>继续提供包括但不限于与福建省公共资源交易电子行政监督平台、福建省公共资源交易电子公共服务平台、福建省公共资源交易统一CA兼容互认证接口、福建省公共资源交易远程异地评标系统、专家签章系统等对接服务。</w:t>
      </w:r>
    </w:p>
    <w:p>
      <w:pPr>
        <w:pStyle w:val="4"/>
        <w:keepLines w:val="0"/>
        <w:pageBreakBefore w:val="0"/>
        <w:widowControl/>
        <w:shd w:val="clear"/>
        <w:kinsoku/>
        <w:wordWrap/>
        <w:overflowPunct/>
        <w:topLinePunct w:val="0"/>
        <w:autoSpaceDE/>
        <w:autoSpaceDN/>
        <w:bidi w:val="0"/>
        <w:adjustRightInd/>
        <w:snapToGrid/>
        <w:spacing w:before="0" w:line="580" w:lineRule="exact"/>
        <w:ind w:firstLine="645"/>
        <w:textAlignment w:val="auto"/>
        <w:outlineLvl w:val="3"/>
        <w:rPr>
          <w:highlight w:val="none"/>
        </w:rPr>
      </w:pPr>
      <w:r>
        <w:rPr>
          <w:rFonts w:ascii="仿宋" w:hAnsi="仿宋" w:eastAsia="仿宋" w:cs="仿宋"/>
          <w:sz w:val="32"/>
          <w:szCs w:val="32"/>
          <w:highlight w:val="none"/>
        </w:rPr>
        <w:t>2.金融机构电子保函系统对接</w:t>
      </w:r>
    </w:p>
    <w:p>
      <w:pPr>
        <w:keepLines w:val="0"/>
        <w:pageBreakBefore w:val="0"/>
        <w:widowControl/>
        <w:shd w:val="clear"/>
        <w:kinsoku/>
        <w:wordWrap/>
        <w:overflowPunct/>
        <w:topLinePunct w:val="0"/>
        <w:autoSpaceDE/>
        <w:autoSpaceDN/>
        <w:bidi w:val="0"/>
        <w:adjustRightInd/>
        <w:snapToGrid/>
        <w:spacing w:line="580" w:lineRule="exact"/>
        <w:ind w:firstLine="645"/>
        <w:textAlignment w:val="auto"/>
        <w:rPr>
          <w:highlight w:val="none"/>
        </w:rPr>
      </w:pPr>
      <w:r>
        <w:rPr>
          <w:rFonts w:ascii="仿宋" w:hAnsi="仿宋" w:eastAsia="仿宋" w:cs="仿宋"/>
          <w:sz w:val="32"/>
          <w:szCs w:val="32"/>
          <w:highlight w:val="none"/>
        </w:rPr>
        <w:t>根据省公共资源交易电子公共服务平台电子保函对接数据规范，与金融机构电子保函系统实现对接，并实现省公共服务平台推送服务。</w:t>
      </w:r>
    </w:p>
    <w:p>
      <w:pPr>
        <w:pStyle w:val="2"/>
        <w:keepLines w:val="0"/>
        <w:pageBreakBefore w:val="0"/>
        <w:widowControl/>
        <w:shd w:val="clear"/>
        <w:kinsoku/>
        <w:wordWrap/>
        <w:overflowPunct/>
        <w:topLinePunct w:val="0"/>
        <w:autoSpaceDE/>
        <w:autoSpaceDN/>
        <w:bidi w:val="0"/>
        <w:adjustRightInd/>
        <w:snapToGrid/>
        <w:spacing w:before="0" w:after="0" w:line="580" w:lineRule="exact"/>
        <w:ind w:firstLine="645"/>
        <w:textAlignment w:val="auto"/>
        <w:outlineLvl w:val="1"/>
        <w:rPr>
          <w:i w:val="0"/>
          <w:iCs w:val="0"/>
          <w:highlight w:val="none"/>
        </w:rPr>
      </w:pPr>
      <w:r>
        <w:rPr>
          <w:rFonts w:ascii="黑体" w:hAnsi="黑体" w:eastAsia="黑体" w:cs="黑体"/>
          <w:i w:val="0"/>
          <w:iCs w:val="0"/>
          <w:sz w:val="32"/>
          <w:szCs w:val="32"/>
          <w:highlight w:val="none"/>
        </w:rPr>
        <w:t>三、平台定制服务</w:t>
      </w:r>
    </w:p>
    <w:p>
      <w:pPr>
        <w:pStyle w:val="3"/>
        <w:keepLines w:val="0"/>
        <w:pageBreakBefore w:val="0"/>
        <w:widowControl/>
        <w:shd w:val="clear"/>
        <w:kinsoku/>
        <w:wordWrap/>
        <w:overflowPunct/>
        <w:topLinePunct w:val="0"/>
        <w:autoSpaceDE/>
        <w:autoSpaceDN/>
        <w:bidi w:val="0"/>
        <w:adjustRightInd/>
        <w:snapToGrid/>
        <w:spacing w:before="0" w:after="0" w:line="580" w:lineRule="exact"/>
        <w:ind w:left="360"/>
        <w:textAlignment w:val="auto"/>
        <w:outlineLvl w:val="2"/>
        <w:rPr>
          <w:highlight w:val="none"/>
        </w:rPr>
      </w:pPr>
      <w:r>
        <w:rPr>
          <w:rFonts w:ascii="楷体" w:hAnsi="楷体" w:eastAsia="楷体" w:cs="楷体"/>
          <w:b w:val="0"/>
          <w:bCs w:val="0"/>
          <w:sz w:val="32"/>
          <w:szCs w:val="32"/>
          <w:highlight w:val="none"/>
        </w:rPr>
        <w:t>（一）工程建设范本更新与改造服务</w:t>
      </w:r>
    </w:p>
    <w:p>
      <w:pPr>
        <w:pStyle w:val="3"/>
        <w:keepLines w:val="0"/>
        <w:pageBreakBefore w:val="0"/>
        <w:widowControl/>
        <w:shd w:val="clear"/>
        <w:kinsoku/>
        <w:wordWrap/>
        <w:overflowPunct/>
        <w:topLinePunct w:val="0"/>
        <w:autoSpaceDE/>
        <w:autoSpaceDN/>
        <w:bidi w:val="0"/>
        <w:adjustRightInd/>
        <w:snapToGrid/>
        <w:spacing w:before="0" w:after="0" w:line="580" w:lineRule="exact"/>
        <w:ind w:firstLine="645"/>
        <w:textAlignment w:val="auto"/>
        <w:outlineLvl w:val="2"/>
        <w:rPr>
          <w:highlight w:val="none"/>
        </w:rPr>
      </w:pPr>
      <w:r>
        <w:rPr>
          <w:rFonts w:ascii="仿宋" w:hAnsi="仿宋" w:eastAsia="仿宋" w:cs="仿宋"/>
          <w:b w:val="0"/>
          <w:bCs w:val="0"/>
          <w:sz w:val="32"/>
          <w:szCs w:val="32"/>
          <w:highlight w:val="none"/>
        </w:rPr>
        <w:t>根据行业主管部门最新发布的各类标准招标文件（简称“范本”），对工程建设领域招标投标全流程功能进行更新与改造（新范本的研发上线，旧范本的修订改造），包括房建市政工程项目、交通工程项目、水利工程项目和信息化项目等领域各类招标文件范本。</w:t>
      </w:r>
    </w:p>
    <w:p>
      <w:pPr>
        <w:pStyle w:val="3"/>
        <w:keepLines w:val="0"/>
        <w:pageBreakBefore w:val="0"/>
        <w:widowControl/>
        <w:shd w:val="clear"/>
        <w:kinsoku/>
        <w:wordWrap/>
        <w:overflowPunct/>
        <w:topLinePunct w:val="0"/>
        <w:autoSpaceDE/>
        <w:autoSpaceDN/>
        <w:bidi w:val="0"/>
        <w:adjustRightInd/>
        <w:snapToGrid/>
        <w:spacing w:before="0" w:after="0" w:line="580" w:lineRule="exact"/>
        <w:ind w:left="360"/>
        <w:textAlignment w:val="auto"/>
        <w:outlineLvl w:val="2"/>
        <w:rPr>
          <w:highlight w:val="none"/>
        </w:rPr>
      </w:pPr>
      <w:r>
        <w:rPr>
          <w:rFonts w:ascii="楷体" w:hAnsi="楷体" w:eastAsia="楷体" w:cs="楷体"/>
          <w:b w:val="0"/>
          <w:bCs w:val="0"/>
          <w:sz w:val="32"/>
          <w:szCs w:val="32"/>
          <w:highlight w:val="none"/>
        </w:rPr>
        <w:t>（二）省级工程建设范本更新与改造服务</w:t>
      </w:r>
    </w:p>
    <w:p>
      <w:pPr>
        <w:pStyle w:val="3"/>
        <w:keepLines w:val="0"/>
        <w:pageBreakBefore w:val="0"/>
        <w:widowControl/>
        <w:shd w:val="clear"/>
        <w:kinsoku/>
        <w:wordWrap/>
        <w:overflowPunct/>
        <w:topLinePunct w:val="0"/>
        <w:autoSpaceDE/>
        <w:autoSpaceDN/>
        <w:bidi w:val="0"/>
        <w:adjustRightInd/>
        <w:snapToGrid/>
        <w:spacing w:before="0" w:after="0" w:line="580" w:lineRule="exact"/>
        <w:ind w:firstLine="645"/>
        <w:textAlignment w:val="auto"/>
        <w:outlineLvl w:val="2"/>
        <w:rPr>
          <w:highlight w:val="none"/>
        </w:rPr>
      </w:pPr>
      <w:r>
        <w:rPr>
          <w:rFonts w:ascii="仿宋" w:hAnsi="仿宋" w:eastAsia="仿宋" w:cs="仿宋"/>
          <w:b w:val="0"/>
          <w:bCs w:val="0"/>
          <w:sz w:val="32"/>
          <w:szCs w:val="32"/>
          <w:highlight w:val="none"/>
        </w:rPr>
        <w:t>根据省级工程行业主管部门最新发布的各类标准招标文件（简称“范本”），对省级工程建设领域招标投标全流程功能进行更新与改造（新范本的研发上线，旧范本的修订改造），包括高速公路工程项目、水运工程项目和渔港工程项目等领域各类招标文件范本。</w:t>
      </w:r>
    </w:p>
    <w:p>
      <w:pPr>
        <w:pStyle w:val="3"/>
        <w:keepLines w:val="0"/>
        <w:pageBreakBefore w:val="0"/>
        <w:widowControl/>
        <w:shd w:val="clear"/>
        <w:kinsoku/>
        <w:wordWrap/>
        <w:overflowPunct/>
        <w:topLinePunct w:val="0"/>
        <w:autoSpaceDE/>
        <w:autoSpaceDN/>
        <w:bidi w:val="0"/>
        <w:adjustRightInd/>
        <w:snapToGrid/>
        <w:spacing w:before="0" w:after="0" w:line="580" w:lineRule="exact"/>
        <w:ind w:left="360"/>
        <w:textAlignment w:val="auto"/>
        <w:outlineLvl w:val="2"/>
        <w:rPr>
          <w:highlight w:val="none"/>
        </w:rPr>
      </w:pPr>
      <w:r>
        <w:rPr>
          <w:rFonts w:ascii="楷体" w:hAnsi="楷体" w:eastAsia="楷体" w:cs="楷体"/>
          <w:b w:val="0"/>
          <w:bCs w:val="0"/>
          <w:sz w:val="32"/>
          <w:szCs w:val="32"/>
          <w:highlight w:val="none"/>
        </w:rPr>
        <w:t>（三）软件优化调整服务</w:t>
      </w:r>
    </w:p>
    <w:p>
      <w:pPr>
        <w:keepLines w:val="0"/>
        <w:pageBreakBefore w:val="0"/>
        <w:widowControl/>
        <w:shd w:val="clear"/>
        <w:kinsoku/>
        <w:wordWrap/>
        <w:overflowPunct/>
        <w:topLinePunct w:val="0"/>
        <w:autoSpaceDE/>
        <w:autoSpaceDN/>
        <w:bidi w:val="0"/>
        <w:adjustRightInd/>
        <w:snapToGrid/>
        <w:spacing w:line="580" w:lineRule="exact"/>
        <w:ind w:firstLine="645"/>
        <w:textAlignment w:val="auto"/>
        <w:rPr>
          <w:highlight w:val="none"/>
        </w:rPr>
      </w:pPr>
      <w:r>
        <w:rPr>
          <w:rFonts w:ascii="仿宋" w:hAnsi="仿宋" w:eastAsia="仿宋" w:cs="仿宋"/>
          <w:sz w:val="32"/>
          <w:szCs w:val="32"/>
          <w:highlight w:val="none"/>
        </w:rPr>
        <w:t>根据业务发展的要求，提供软件优化与调整服务，包括但不限于如下内容：</w:t>
      </w:r>
    </w:p>
    <w:p>
      <w:pPr>
        <w:keepLines w:val="0"/>
        <w:pageBreakBefore w:val="0"/>
        <w:widowControl/>
        <w:shd w:val="clear"/>
        <w:kinsoku/>
        <w:wordWrap/>
        <w:overflowPunct/>
        <w:topLinePunct w:val="0"/>
        <w:autoSpaceDE/>
        <w:autoSpaceDN/>
        <w:bidi w:val="0"/>
        <w:adjustRightInd/>
        <w:snapToGrid/>
        <w:spacing w:line="580" w:lineRule="exact"/>
        <w:ind w:firstLine="645"/>
        <w:textAlignment w:val="auto"/>
        <w:rPr>
          <w:highlight w:val="none"/>
        </w:rPr>
      </w:pPr>
      <w:r>
        <w:rPr>
          <w:rFonts w:ascii="仿宋" w:hAnsi="仿宋" w:eastAsia="仿宋" w:cs="仿宋"/>
          <w:sz w:val="32"/>
          <w:szCs w:val="32"/>
          <w:highlight w:val="none"/>
        </w:rPr>
        <w:t>1.为用户后台开发新栏目或优化调整栏目，例如根据交易中心不定期所需的数据优化统计报表栏目，进行相关报表快速导出；</w:t>
      </w:r>
    </w:p>
    <w:p>
      <w:pPr>
        <w:keepLines w:val="0"/>
        <w:pageBreakBefore w:val="0"/>
        <w:widowControl/>
        <w:shd w:val="clear"/>
        <w:kinsoku/>
        <w:wordWrap/>
        <w:overflowPunct/>
        <w:topLinePunct w:val="0"/>
        <w:autoSpaceDE/>
        <w:autoSpaceDN/>
        <w:bidi w:val="0"/>
        <w:adjustRightInd/>
        <w:snapToGrid/>
        <w:spacing w:line="580" w:lineRule="exact"/>
        <w:ind w:firstLine="645"/>
        <w:textAlignment w:val="auto"/>
        <w:rPr>
          <w:highlight w:val="none"/>
        </w:rPr>
      </w:pPr>
      <w:r>
        <w:rPr>
          <w:rFonts w:ascii="仿宋" w:hAnsi="仿宋" w:eastAsia="仿宋" w:cs="仿宋"/>
          <w:sz w:val="32"/>
          <w:szCs w:val="32"/>
          <w:highlight w:val="none"/>
        </w:rPr>
        <w:t>2.在用户使用过程中收集用户制作电子标书的过程中遇到的问题，不断优化软件各项功能让用户操作更便捷，缩短制标时长，提升用户体验；</w:t>
      </w:r>
    </w:p>
    <w:p>
      <w:pPr>
        <w:keepLines w:val="0"/>
        <w:pageBreakBefore w:val="0"/>
        <w:widowControl/>
        <w:shd w:val="clear"/>
        <w:kinsoku/>
        <w:wordWrap/>
        <w:overflowPunct/>
        <w:topLinePunct w:val="0"/>
        <w:autoSpaceDE/>
        <w:autoSpaceDN/>
        <w:bidi w:val="0"/>
        <w:adjustRightInd/>
        <w:snapToGrid/>
        <w:spacing w:line="580" w:lineRule="exact"/>
        <w:ind w:firstLine="645"/>
        <w:textAlignment w:val="auto"/>
        <w:rPr>
          <w:highlight w:val="none"/>
        </w:rPr>
      </w:pPr>
      <w:r>
        <w:rPr>
          <w:rFonts w:ascii="仿宋" w:hAnsi="仿宋" w:eastAsia="仿宋" w:cs="仿宋"/>
          <w:sz w:val="32"/>
          <w:szCs w:val="32"/>
          <w:highlight w:val="none"/>
        </w:rPr>
        <w:t>3.针对不同版本的操作系统、不同版本的浏览器进行兼容适配，使得新老设备、多种浏览器均可顺利使用系统，节约用户的成本。在保障业务可用的同时，不断提升系统用户满意度。</w:t>
      </w:r>
    </w:p>
    <w:p>
      <w:pPr>
        <w:pStyle w:val="3"/>
        <w:keepLines w:val="0"/>
        <w:pageBreakBefore w:val="0"/>
        <w:widowControl/>
        <w:shd w:val="clear"/>
        <w:kinsoku/>
        <w:wordWrap/>
        <w:overflowPunct/>
        <w:topLinePunct w:val="0"/>
        <w:autoSpaceDE/>
        <w:autoSpaceDN/>
        <w:bidi w:val="0"/>
        <w:adjustRightInd/>
        <w:snapToGrid/>
        <w:spacing w:before="0" w:after="0" w:line="580" w:lineRule="exact"/>
        <w:ind w:left="360"/>
        <w:textAlignment w:val="auto"/>
        <w:outlineLvl w:val="2"/>
        <w:rPr>
          <w:highlight w:val="none"/>
        </w:rPr>
      </w:pPr>
      <w:r>
        <w:rPr>
          <w:rFonts w:ascii="楷体" w:hAnsi="楷体" w:eastAsia="楷体" w:cs="楷体"/>
          <w:b w:val="0"/>
          <w:bCs w:val="0"/>
          <w:sz w:val="32"/>
          <w:szCs w:val="32"/>
          <w:highlight w:val="none"/>
        </w:rPr>
        <w:t>（四）专项数据推送接口维护服务</w:t>
      </w:r>
    </w:p>
    <w:p>
      <w:pPr>
        <w:keepLines w:val="0"/>
        <w:pageBreakBefore w:val="0"/>
        <w:widowControl/>
        <w:shd w:val="clear"/>
        <w:kinsoku/>
        <w:wordWrap/>
        <w:overflowPunct/>
        <w:topLinePunct w:val="0"/>
        <w:autoSpaceDE/>
        <w:autoSpaceDN/>
        <w:bidi w:val="0"/>
        <w:adjustRightInd/>
        <w:snapToGrid/>
        <w:spacing w:line="580" w:lineRule="exact"/>
        <w:ind w:firstLine="645"/>
        <w:textAlignment w:val="auto"/>
        <w:rPr>
          <w:highlight w:val="none"/>
        </w:rPr>
      </w:pPr>
      <w:r>
        <w:rPr>
          <w:rFonts w:ascii="仿宋" w:hAnsi="仿宋" w:eastAsia="仿宋" w:cs="仿宋"/>
          <w:sz w:val="32"/>
          <w:szCs w:val="32"/>
          <w:highlight w:val="none"/>
        </w:rPr>
        <w:t>根据省市发布的最新行业技术标准与数据规范，提供开发并定期维护数据上报接口的服务，实现各类交易信息数据的互联互通和交换共享。配合交易中心定期查询相关数据报送情况，密切关注数据报送的质量，及时处理数据报送出现的问题。</w:t>
      </w:r>
    </w:p>
    <w:p>
      <w:pPr>
        <w:pStyle w:val="3"/>
        <w:keepLines w:val="0"/>
        <w:pageBreakBefore w:val="0"/>
        <w:widowControl/>
        <w:shd w:val="clear"/>
        <w:kinsoku/>
        <w:wordWrap/>
        <w:overflowPunct/>
        <w:topLinePunct w:val="0"/>
        <w:autoSpaceDE/>
        <w:autoSpaceDN/>
        <w:bidi w:val="0"/>
        <w:adjustRightInd/>
        <w:snapToGrid/>
        <w:spacing w:before="0" w:after="0" w:line="580" w:lineRule="exact"/>
        <w:ind w:left="360"/>
        <w:textAlignment w:val="auto"/>
        <w:outlineLvl w:val="2"/>
        <w:rPr>
          <w:highlight w:val="none"/>
        </w:rPr>
      </w:pPr>
      <w:r>
        <w:rPr>
          <w:rFonts w:ascii="楷体" w:hAnsi="楷体" w:eastAsia="楷体" w:cs="楷体"/>
          <w:b w:val="0"/>
          <w:bCs w:val="0"/>
          <w:sz w:val="32"/>
          <w:szCs w:val="32"/>
          <w:highlight w:val="none"/>
        </w:rPr>
        <w:t>（五）外部系统适配</w:t>
      </w:r>
    </w:p>
    <w:p>
      <w:pPr>
        <w:keepLines w:val="0"/>
        <w:pageBreakBefore w:val="0"/>
        <w:widowControl/>
        <w:shd w:val="clear"/>
        <w:kinsoku/>
        <w:wordWrap/>
        <w:overflowPunct/>
        <w:topLinePunct w:val="0"/>
        <w:autoSpaceDE/>
        <w:autoSpaceDN/>
        <w:bidi w:val="0"/>
        <w:adjustRightInd/>
        <w:snapToGrid/>
        <w:spacing w:line="580" w:lineRule="exact"/>
        <w:ind w:firstLine="645"/>
        <w:textAlignment w:val="auto"/>
        <w:rPr>
          <w:highlight w:val="none"/>
        </w:rPr>
      </w:pPr>
      <w:r>
        <w:rPr>
          <w:rFonts w:ascii="仿宋" w:hAnsi="仿宋" w:eastAsia="仿宋" w:cs="仿宋"/>
          <w:sz w:val="32"/>
          <w:szCs w:val="32"/>
          <w:highlight w:val="none"/>
        </w:rPr>
        <w:t>根据公共资源交易服务规范不定期修订，提供接入各类省级、市级已建成或新建的业务系统并持续同步更新的服务，确保招标投标业务正常可用，符合监管要求。具体包括：福建省公共资源交易电子公共服务平台、福建省公共资源交易电子行政监督平台、福建省统一CA兼容互认接口、福建省企业数字证书和电子签章公共服务平台、福州公共资源交易网、福建省远程异地评标调度系统、福州市公共资源交易年度保证金系统、短信平台接口、门禁签到系统、福建省综合评标专家库系统。</w:t>
      </w:r>
    </w:p>
    <w:p>
      <w:pPr>
        <w:pStyle w:val="3"/>
        <w:keepLines w:val="0"/>
        <w:pageBreakBefore w:val="0"/>
        <w:widowControl/>
        <w:shd w:val="clear"/>
        <w:kinsoku/>
        <w:wordWrap/>
        <w:overflowPunct/>
        <w:topLinePunct w:val="0"/>
        <w:autoSpaceDE/>
        <w:autoSpaceDN/>
        <w:bidi w:val="0"/>
        <w:adjustRightInd/>
        <w:snapToGrid/>
        <w:spacing w:before="0" w:after="0" w:line="580" w:lineRule="exact"/>
        <w:ind w:left="360"/>
        <w:textAlignment w:val="auto"/>
        <w:outlineLvl w:val="2"/>
        <w:rPr>
          <w:highlight w:val="none"/>
        </w:rPr>
      </w:pPr>
      <w:r>
        <w:rPr>
          <w:rFonts w:ascii="楷体" w:hAnsi="楷体" w:eastAsia="楷体" w:cs="楷体"/>
          <w:b w:val="0"/>
          <w:bCs w:val="0"/>
          <w:sz w:val="32"/>
          <w:szCs w:val="32"/>
          <w:highlight w:val="none"/>
        </w:rPr>
        <w:t>（六）业务流程配置服务</w:t>
      </w:r>
    </w:p>
    <w:p>
      <w:pPr>
        <w:keepLines w:val="0"/>
        <w:pageBreakBefore w:val="0"/>
        <w:widowControl/>
        <w:shd w:val="clear"/>
        <w:kinsoku/>
        <w:wordWrap/>
        <w:overflowPunct/>
        <w:topLinePunct w:val="0"/>
        <w:autoSpaceDE/>
        <w:autoSpaceDN/>
        <w:bidi w:val="0"/>
        <w:adjustRightInd/>
        <w:snapToGrid/>
        <w:spacing w:line="580" w:lineRule="exact"/>
        <w:ind w:firstLine="645"/>
        <w:textAlignment w:val="auto"/>
        <w:rPr>
          <w:highlight w:val="none"/>
        </w:rPr>
      </w:pPr>
      <w:r>
        <w:rPr>
          <w:rFonts w:ascii="仿宋" w:hAnsi="仿宋" w:eastAsia="仿宋" w:cs="仿宋"/>
          <w:sz w:val="32"/>
          <w:szCs w:val="32"/>
          <w:highlight w:val="none"/>
        </w:rPr>
        <w:t>根据业务相关规定的变化以及市级、县区交易中心的实际业务流程的变化，对系统交易流程、办事流程等进行实时的调整与配置，不断优化业务流程，提升中心服务水平。</w:t>
      </w:r>
    </w:p>
    <w:p>
      <w:pPr>
        <w:pStyle w:val="3"/>
        <w:keepLines w:val="0"/>
        <w:pageBreakBefore w:val="0"/>
        <w:widowControl/>
        <w:shd w:val="clear"/>
        <w:kinsoku/>
        <w:wordWrap/>
        <w:overflowPunct/>
        <w:topLinePunct w:val="0"/>
        <w:autoSpaceDE/>
        <w:autoSpaceDN/>
        <w:bidi w:val="0"/>
        <w:adjustRightInd/>
        <w:snapToGrid/>
        <w:spacing w:before="0" w:after="0" w:line="580" w:lineRule="exact"/>
        <w:ind w:left="360"/>
        <w:textAlignment w:val="auto"/>
        <w:outlineLvl w:val="2"/>
        <w:rPr>
          <w:highlight w:val="none"/>
        </w:rPr>
      </w:pPr>
      <w:r>
        <w:rPr>
          <w:rFonts w:ascii="楷体" w:hAnsi="楷体" w:eastAsia="楷体" w:cs="楷体"/>
          <w:b w:val="0"/>
          <w:bCs w:val="0"/>
          <w:sz w:val="32"/>
          <w:szCs w:val="32"/>
          <w:highlight w:val="none"/>
        </w:rPr>
        <w:t>（七）系统参数配置服务</w:t>
      </w:r>
    </w:p>
    <w:p>
      <w:pPr>
        <w:keepLines w:val="0"/>
        <w:pageBreakBefore w:val="0"/>
        <w:widowControl/>
        <w:shd w:val="clear"/>
        <w:kinsoku/>
        <w:wordWrap/>
        <w:overflowPunct/>
        <w:topLinePunct w:val="0"/>
        <w:autoSpaceDE/>
        <w:autoSpaceDN/>
        <w:bidi w:val="0"/>
        <w:adjustRightInd/>
        <w:snapToGrid/>
        <w:spacing w:line="580" w:lineRule="exact"/>
        <w:ind w:firstLine="645"/>
        <w:textAlignment w:val="auto"/>
        <w:rPr>
          <w:highlight w:val="none"/>
        </w:rPr>
      </w:pPr>
      <w:r>
        <w:rPr>
          <w:rFonts w:ascii="仿宋" w:hAnsi="仿宋" w:eastAsia="仿宋" w:cs="仿宋"/>
          <w:sz w:val="32"/>
          <w:szCs w:val="32"/>
          <w:highlight w:val="none"/>
        </w:rPr>
        <w:t>根据业务开展过程中的情况，提供对系统参数进行及时配置与调整的服务，确保公共资源交易流程正常开展。包括但不限于如下内容：</w:t>
      </w:r>
    </w:p>
    <w:p>
      <w:pPr>
        <w:keepLines w:val="0"/>
        <w:pageBreakBefore w:val="0"/>
        <w:widowControl/>
        <w:shd w:val="clear"/>
        <w:kinsoku/>
        <w:wordWrap/>
        <w:overflowPunct/>
        <w:topLinePunct w:val="0"/>
        <w:autoSpaceDE/>
        <w:autoSpaceDN/>
        <w:bidi w:val="0"/>
        <w:adjustRightInd/>
        <w:snapToGrid/>
        <w:spacing w:line="580" w:lineRule="exact"/>
        <w:ind w:firstLine="645"/>
        <w:textAlignment w:val="auto"/>
        <w:rPr>
          <w:highlight w:val="none"/>
        </w:rPr>
      </w:pPr>
      <w:r>
        <w:rPr>
          <w:rFonts w:ascii="仿宋" w:hAnsi="仿宋" w:eastAsia="仿宋" w:cs="仿宋"/>
          <w:sz w:val="32"/>
          <w:szCs w:val="32"/>
          <w:highlight w:val="none"/>
        </w:rPr>
        <w:t>由于市、区县各交易中心的保证金接入的银行不同，以及各地保证金账号轮换规则不同，定期对保证金账号进行配置调整；</w:t>
      </w:r>
    </w:p>
    <w:p>
      <w:pPr>
        <w:keepLines w:val="0"/>
        <w:pageBreakBefore w:val="0"/>
        <w:widowControl/>
        <w:shd w:val="clear"/>
        <w:kinsoku/>
        <w:wordWrap/>
        <w:overflowPunct/>
        <w:topLinePunct w:val="0"/>
        <w:autoSpaceDE/>
        <w:autoSpaceDN/>
        <w:bidi w:val="0"/>
        <w:adjustRightInd/>
        <w:snapToGrid/>
        <w:spacing w:line="580" w:lineRule="exact"/>
        <w:ind w:firstLine="645"/>
        <w:textAlignment w:val="auto"/>
        <w:rPr>
          <w:highlight w:val="none"/>
        </w:rPr>
      </w:pPr>
      <w:r>
        <w:rPr>
          <w:rFonts w:ascii="仿宋" w:hAnsi="仿宋" w:eastAsia="仿宋" w:cs="仿宋"/>
          <w:sz w:val="32"/>
          <w:szCs w:val="32"/>
          <w:highlight w:val="none"/>
        </w:rPr>
        <w:t>1.根据交易各方主体用户不断提出的需求，签订需求单，进行调整和优化功能菜单；</w:t>
      </w:r>
    </w:p>
    <w:p>
      <w:pPr>
        <w:keepLines w:val="0"/>
        <w:pageBreakBefore w:val="0"/>
        <w:widowControl/>
        <w:shd w:val="clear"/>
        <w:kinsoku/>
        <w:wordWrap/>
        <w:overflowPunct/>
        <w:topLinePunct w:val="0"/>
        <w:autoSpaceDE/>
        <w:autoSpaceDN/>
        <w:bidi w:val="0"/>
        <w:adjustRightInd/>
        <w:snapToGrid/>
        <w:spacing w:line="580" w:lineRule="exact"/>
        <w:ind w:firstLine="645"/>
        <w:textAlignment w:val="auto"/>
        <w:rPr>
          <w:highlight w:val="none"/>
        </w:rPr>
      </w:pPr>
      <w:r>
        <w:rPr>
          <w:rFonts w:ascii="仿宋" w:hAnsi="仿宋" w:eastAsia="仿宋" w:cs="仿宋"/>
          <w:sz w:val="32"/>
          <w:szCs w:val="32"/>
          <w:highlight w:val="none"/>
        </w:rPr>
        <w:t>2.根据每种角色，对访问权限进行调整，例如开标系统只允许招标人、招标代理用户访问，投标人只能观看视频直播，评标系统只允许有评审项目的评标专家登录；</w:t>
      </w:r>
    </w:p>
    <w:p>
      <w:pPr>
        <w:keepLines w:val="0"/>
        <w:pageBreakBefore w:val="0"/>
        <w:widowControl/>
        <w:shd w:val="clear"/>
        <w:kinsoku/>
        <w:wordWrap/>
        <w:overflowPunct/>
        <w:topLinePunct w:val="0"/>
        <w:autoSpaceDE/>
        <w:autoSpaceDN/>
        <w:bidi w:val="0"/>
        <w:adjustRightInd/>
        <w:snapToGrid/>
        <w:spacing w:line="580" w:lineRule="exact"/>
        <w:ind w:firstLine="645"/>
        <w:textAlignment w:val="auto"/>
        <w:rPr>
          <w:highlight w:val="none"/>
        </w:rPr>
      </w:pPr>
      <w:r>
        <w:rPr>
          <w:rFonts w:ascii="仿宋" w:hAnsi="仿宋" w:eastAsia="仿宋" w:cs="仿宋"/>
          <w:sz w:val="32"/>
          <w:szCs w:val="32"/>
          <w:highlight w:val="none"/>
        </w:rPr>
        <w:t>3.对访问开评标系统的相关设备进行MAC地址管控，通过后台配置新增或删除接入设备，保证开评标系统安全；</w:t>
      </w:r>
    </w:p>
    <w:p>
      <w:pPr>
        <w:keepLines w:val="0"/>
        <w:pageBreakBefore w:val="0"/>
        <w:widowControl/>
        <w:shd w:val="clear"/>
        <w:kinsoku/>
        <w:wordWrap/>
        <w:overflowPunct/>
        <w:topLinePunct w:val="0"/>
        <w:autoSpaceDE/>
        <w:autoSpaceDN/>
        <w:bidi w:val="0"/>
        <w:adjustRightInd/>
        <w:snapToGrid/>
        <w:spacing w:line="580" w:lineRule="exact"/>
        <w:ind w:firstLine="645"/>
        <w:textAlignment w:val="auto"/>
        <w:rPr>
          <w:highlight w:val="none"/>
        </w:rPr>
      </w:pPr>
      <w:r>
        <w:rPr>
          <w:rFonts w:ascii="仿宋" w:hAnsi="仿宋" w:eastAsia="仿宋" w:cs="仿宋"/>
          <w:sz w:val="32"/>
          <w:szCs w:val="32"/>
          <w:highlight w:val="none"/>
        </w:rPr>
        <w:t>4.对开评标场地的监控系统进行取流、推流配置，对新增或删除的设备及时修改相关配置等。</w:t>
      </w:r>
    </w:p>
    <w:p>
      <w:pPr>
        <w:pStyle w:val="2"/>
        <w:keepLines w:val="0"/>
        <w:pageBreakBefore w:val="0"/>
        <w:widowControl/>
        <w:shd w:val="clear"/>
        <w:kinsoku/>
        <w:wordWrap/>
        <w:overflowPunct/>
        <w:topLinePunct w:val="0"/>
        <w:autoSpaceDE/>
        <w:autoSpaceDN/>
        <w:bidi w:val="0"/>
        <w:adjustRightInd/>
        <w:snapToGrid/>
        <w:spacing w:before="0" w:after="0" w:line="580" w:lineRule="exact"/>
        <w:ind w:firstLine="645"/>
        <w:textAlignment w:val="auto"/>
        <w:outlineLvl w:val="1"/>
        <w:rPr>
          <w:i w:val="0"/>
          <w:iCs w:val="0"/>
          <w:highlight w:val="none"/>
        </w:rPr>
      </w:pPr>
      <w:r>
        <w:rPr>
          <w:rFonts w:ascii="黑体" w:hAnsi="黑体" w:eastAsia="黑体" w:cs="黑体"/>
          <w:i w:val="0"/>
          <w:iCs w:val="0"/>
          <w:sz w:val="32"/>
          <w:szCs w:val="32"/>
          <w:highlight w:val="none"/>
        </w:rPr>
        <w:t>四、平台运维服务</w:t>
      </w:r>
    </w:p>
    <w:p>
      <w:pPr>
        <w:pStyle w:val="3"/>
        <w:keepLines w:val="0"/>
        <w:pageBreakBefore w:val="0"/>
        <w:widowControl/>
        <w:shd w:val="clear"/>
        <w:kinsoku/>
        <w:wordWrap/>
        <w:overflowPunct/>
        <w:topLinePunct w:val="0"/>
        <w:autoSpaceDE/>
        <w:autoSpaceDN/>
        <w:bidi w:val="0"/>
        <w:adjustRightInd/>
        <w:snapToGrid/>
        <w:spacing w:before="0" w:after="0" w:line="580" w:lineRule="exact"/>
        <w:ind w:firstLine="645"/>
        <w:textAlignment w:val="auto"/>
        <w:outlineLvl w:val="2"/>
        <w:rPr>
          <w:highlight w:val="none"/>
        </w:rPr>
      </w:pPr>
      <w:r>
        <w:rPr>
          <w:rFonts w:ascii="楷体" w:hAnsi="楷体" w:eastAsia="楷体" w:cs="楷体"/>
          <w:b w:val="0"/>
          <w:bCs w:val="0"/>
          <w:sz w:val="32"/>
          <w:szCs w:val="32"/>
          <w:highlight w:val="none"/>
        </w:rPr>
        <w:t>（一）日常技术保障服务</w:t>
      </w:r>
    </w:p>
    <w:p>
      <w:pPr>
        <w:keepLines w:val="0"/>
        <w:pageBreakBefore w:val="0"/>
        <w:widowControl/>
        <w:shd w:val="clear"/>
        <w:kinsoku/>
        <w:wordWrap/>
        <w:overflowPunct/>
        <w:topLinePunct w:val="0"/>
        <w:autoSpaceDE/>
        <w:autoSpaceDN/>
        <w:bidi w:val="0"/>
        <w:adjustRightInd/>
        <w:snapToGrid/>
        <w:spacing w:line="580" w:lineRule="exact"/>
        <w:ind w:firstLine="645"/>
        <w:textAlignment w:val="auto"/>
        <w:rPr>
          <w:highlight w:val="none"/>
        </w:rPr>
      </w:pPr>
      <w:r>
        <w:rPr>
          <w:rFonts w:ascii="仿宋" w:hAnsi="仿宋" w:eastAsia="仿宋" w:cs="仿宋"/>
          <w:sz w:val="32"/>
          <w:szCs w:val="32"/>
          <w:highlight w:val="none"/>
        </w:rPr>
        <w:t>为保障平台系统高效稳定运行，保障各方交易主体顺畅使用现有平台，服务团队应提供7*24小时系统保障服务。包括现有平台系统的软件维护，如进行软件补丁更新，应用启停等；政务云平台运行环境维护，如进行应用软件更新，软件参数调整等；应用系统维护，如配合进行系统版本升级，系统补丁更新等；数据库管理维护，如进行建立</w:t>
      </w:r>
      <w:r>
        <w:rPr>
          <w:rStyle w:val="21"/>
          <w:rFonts w:ascii="仿宋" w:hAnsi="仿宋" w:eastAsia="仿宋" w:cs="仿宋"/>
          <w:sz w:val="32"/>
          <w:szCs w:val="32"/>
          <w:highlight w:val="none"/>
        </w:rPr>
        <w:t>索引、优化</w:t>
      </w:r>
      <w:r>
        <w:rPr>
          <w:rFonts w:ascii="仿宋" w:hAnsi="仿宋" w:eastAsia="仿宋" w:cs="仿宋"/>
          <w:sz w:val="32"/>
          <w:szCs w:val="32"/>
          <w:highlight w:val="none"/>
        </w:rPr>
        <w:t>存储过程、</w:t>
      </w:r>
      <w:r>
        <w:rPr>
          <w:rStyle w:val="12"/>
          <w:rFonts w:ascii="仿宋" w:hAnsi="仿宋" w:eastAsia="仿宋" w:cs="仿宋"/>
          <w:sz w:val="32"/>
          <w:szCs w:val="32"/>
          <w:highlight w:val="none"/>
        </w:rPr>
        <w:t>库表</w:t>
      </w:r>
      <w:r>
        <w:rPr>
          <w:rFonts w:ascii="仿宋" w:hAnsi="仿宋" w:eastAsia="仿宋" w:cs="仿宋"/>
          <w:sz w:val="32"/>
          <w:szCs w:val="32"/>
          <w:highlight w:val="none"/>
        </w:rPr>
        <w:t>拆分等。保障日常项目开评标的顺利完成，特别是远程异地项目的有效跟进与实时响应，确保系统稳定性和响应效率，保障用户的高满意度。</w:t>
      </w:r>
    </w:p>
    <w:p>
      <w:pPr>
        <w:pStyle w:val="3"/>
        <w:keepLines w:val="0"/>
        <w:pageBreakBefore w:val="0"/>
        <w:widowControl/>
        <w:shd w:val="clear"/>
        <w:kinsoku/>
        <w:wordWrap/>
        <w:overflowPunct/>
        <w:topLinePunct w:val="0"/>
        <w:autoSpaceDE/>
        <w:autoSpaceDN/>
        <w:bidi w:val="0"/>
        <w:adjustRightInd/>
        <w:snapToGrid/>
        <w:spacing w:before="0" w:after="0" w:line="580" w:lineRule="exact"/>
        <w:ind w:firstLine="645"/>
        <w:textAlignment w:val="auto"/>
        <w:outlineLvl w:val="2"/>
        <w:rPr>
          <w:highlight w:val="none"/>
        </w:rPr>
      </w:pPr>
      <w:r>
        <w:rPr>
          <w:rFonts w:ascii="楷体" w:hAnsi="楷体" w:eastAsia="楷体" w:cs="楷体"/>
          <w:b w:val="0"/>
          <w:bCs w:val="0"/>
          <w:sz w:val="32"/>
          <w:szCs w:val="32"/>
          <w:highlight w:val="none"/>
        </w:rPr>
        <w:t>（二）客服服务</w:t>
      </w:r>
    </w:p>
    <w:p>
      <w:pPr>
        <w:keepLines w:val="0"/>
        <w:pageBreakBefore w:val="0"/>
        <w:widowControl/>
        <w:shd w:val="clear"/>
        <w:kinsoku/>
        <w:wordWrap/>
        <w:overflowPunct/>
        <w:topLinePunct w:val="0"/>
        <w:autoSpaceDE/>
        <w:autoSpaceDN/>
        <w:bidi w:val="0"/>
        <w:adjustRightInd/>
        <w:snapToGrid/>
        <w:spacing w:line="580" w:lineRule="exact"/>
        <w:ind w:firstLine="645"/>
        <w:textAlignment w:val="auto"/>
        <w:rPr>
          <w:highlight w:val="none"/>
        </w:rPr>
      </w:pPr>
      <w:r>
        <w:rPr>
          <w:rFonts w:ascii="仿宋" w:hAnsi="仿宋" w:eastAsia="仿宋" w:cs="仿宋"/>
          <w:sz w:val="32"/>
          <w:szCs w:val="32"/>
          <w:highlight w:val="none"/>
        </w:rPr>
        <w:t>服务团队可通过远程通信工具如电话、网络通信、远程工具等方式，为平台用户提供5*8小时系统问题反馈及处理服务，及时解决用户的问题，不得因客服态度、技术服务不到位等问题引起投诉。</w:t>
      </w:r>
    </w:p>
    <w:p>
      <w:pPr>
        <w:pStyle w:val="3"/>
        <w:keepLines w:val="0"/>
        <w:pageBreakBefore w:val="0"/>
        <w:widowControl/>
        <w:shd w:val="clear"/>
        <w:kinsoku/>
        <w:wordWrap/>
        <w:overflowPunct/>
        <w:topLinePunct w:val="0"/>
        <w:autoSpaceDE/>
        <w:autoSpaceDN/>
        <w:bidi w:val="0"/>
        <w:adjustRightInd/>
        <w:snapToGrid/>
        <w:spacing w:before="0" w:after="0" w:line="580" w:lineRule="exact"/>
        <w:ind w:firstLine="645"/>
        <w:textAlignment w:val="auto"/>
        <w:outlineLvl w:val="2"/>
        <w:rPr>
          <w:highlight w:val="none"/>
        </w:rPr>
      </w:pPr>
      <w:r>
        <w:rPr>
          <w:rFonts w:ascii="楷体" w:hAnsi="楷体" w:eastAsia="楷体" w:cs="楷体"/>
          <w:b w:val="0"/>
          <w:bCs w:val="0"/>
          <w:sz w:val="32"/>
          <w:szCs w:val="32"/>
          <w:highlight w:val="none"/>
        </w:rPr>
        <w:t>（三）用户培训服务</w:t>
      </w:r>
    </w:p>
    <w:p>
      <w:pPr>
        <w:keepLines w:val="0"/>
        <w:pageBreakBefore w:val="0"/>
        <w:widowControl/>
        <w:shd w:val="clear"/>
        <w:kinsoku/>
        <w:wordWrap/>
        <w:overflowPunct/>
        <w:topLinePunct w:val="0"/>
        <w:autoSpaceDE/>
        <w:autoSpaceDN/>
        <w:bidi w:val="0"/>
        <w:adjustRightInd/>
        <w:snapToGrid/>
        <w:spacing w:line="580" w:lineRule="exact"/>
        <w:ind w:firstLine="645"/>
        <w:textAlignment w:val="auto"/>
        <w:rPr>
          <w:highlight w:val="none"/>
        </w:rPr>
      </w:pPr>
      <w:r>
        <w:rPr>
          <w:rFonts w:ascii="仿宋" w:hAnsi="仿宋" w:eastAsia="仿宋" w:cs="仿宋"/>
          <w:sz w:val="32"/>
          <w:szCs w:val="32"/>
          <w:highlight w:val="none"/>
        </w:rPr>
        <w:t>服务期间，为使招投标各方主体更熟练使用现有平台系统，服务团队不定期举行线上集中培训服务。</w:t>
      </w:r>
    </w:p>
    <w:p>
      <w:pPr>
        <w:keepLines w:val="0"/>
        <w:pageBreakBefore w:val="0"/>
        <w:widowControl/>
        <w:shd w:val="clear"/>
        <w:kinsoku/>
        <w:wordWrap/>
        <w:overflowPunct/>
        <w:topLinePunct w:val="0"/>
        <w:autoSpaceDE/>
        <w:autoSpaceDN/>
        <w:bidi w:val="0"/>
        <w:adjustRightInd/>
        <w:snapToGrid/>
        <w:spacing w:line="580" w:lineRule="exact"/>
        <w:ind w:firstLine="645"/>
        <w:textAlignment w:val="auto"/>
        <w:rPr>
          <w:highlight w:val="none"/>
        </w:rPr>
      </w:pPr>
      <w:r>
        <w:rPr>
          <w:rFonts w:ascii="仿宋" w:hAnsi="仿宋" w:eastAsia="仿宋" w:cs="仿宋"/>
          <w:sz w:val="32"/>
          <w:szCs w:val="32"/>
          <w:highlight w:val="none"/>
        </w:rPr>
        <w:t>1.服务团队提供完整、可行的培训方案，明确具体人员、培训课程、培训时间、培训方式/地点等服务。</w:t>
      </w:r>
    </w:p>
    <w:p>
      <w:pPr>
        <w:keepLines w:val="0"/>
        <w:pageBreakBefore w:val="0"/>
        <w:widowControl/>
        <w:shd w:val="clear"/>
        <w:kinsoku/>
        <w:wordWrap/>
        <w:overflowPunct/>
        <w:topLinePunct w:val="0"/>
        <w:autoSpaceDE/>
        <w:autoSpaceDN/>
        <w:bidi w:val="0"/>
        <w:adjustRightInd/>
        <w:snapToGrid/>
        <w:spacing w:line="580" w:lineRule="exact"/>
        <w:ind w:firstLine="645"/>
        <w:textAlignment w:val="auto"/>
        <w:rPr>
          <w:highlight w:val="none"/>
        </w:rPr>
      </w:pPr>
      <w:r>
        <w:rPr>
          <w:rFonts w:ascii="仿宋" w:hAnsi="仿宋" w:eastAsia="仿宋" w:cs="仿宋"/>
          <w:sz w:val="32"/>
          <w:szCs w:val="32"/>
          <w:highlight w:val="none"/>
        </w:rPr>
        <w:t>2.培训前服务团队通过发布培训通知，培训后形成培训记录。</w:t>
      </w:r>
    </w:p>
    <w:p>
      <w:pPr>
        <w:pStyle w:val="3"/>
        <w:keepLines w:val="0"/>
        <w:pageBreakBefore w:val="0"/>
        <w:widowControl/>
        <w:shd w:val="clear"/>
        <w:kinsoku/>
        <w:wordWrap/>
        <w:overflowPunct/>
        <w:topLinePunct w:val="0"/>
        <w:autoSpaceDE/>
        <w:autoSpaceDN/>
        <w:bidi w:val="0"/>
        <w:adjustRightInd/>
        <w:snapToGrid/>
        <w:spacing w:before="0" w:after="0" w:line="580" w:lineRule="exact"/>
        <w:ind w:firstLine="645"/>
        <w:textAlignment w:val="auto"/>
        <w:outlineLvl w:val="2"/>
        <w:rPr>
          <w:highlight w:val="none"/>
        </w:rPr>
      </w:pPr>
      <w:r>
        <w:rPr>
          <w:rFonts w:ascii="楷体" w:hAnsi="楷体" w:eastAsia="楷体" w:cs="楷体"/>
          <w:b w:val="0"/>
          <w:bCs w:val="0"/>
          <w:sz w:val="32"/>
          <w:szCs w:val="32"/>
          <w:highlight w:val="none"/>
        </w:rPr>
        <w:t>（四）系统安全测试协助支持服务</w:t>
      </w:r>
    </w:p>
    <w:p>
      <w:pPr>
        <w:keepLines w:val="0"/>
        <w:pageBreakBefore w:val="0"/>
        <w:widowControl/>
        <w:shd w:val="clear"/>
        <w:kinsoku/>
        <w:wordWrap/>
        <w:overflowPunct/>
        <w:topLinePunct w:val="0"/>
        <w:autoSpaceDE/>
        <w:autoSpaceDN/>
        <w:bidi w:val="0"/>
        <w:adjustRightInd/>
        <w:snapToGrid/>
        <w:spacing w:line="580" w:lineRule="exact"/>
        <w:ind w:firstLine="645"/>
        <w:textAlignment w:val="auto"/>
        <w:rPr>
          <w:highlight w:val="none"/>
        </w:rPr>
      </w:pPr>
      <w:r>
        <w:rPr>
          <w:rFonts w:ascii="仿宋" w:hAnsi="仿宋" w:eastAsia="仿宋" w:cs="仿宋"/>
          <w:sz w:val="32"/>
          <w:szCs w:val="32"/>
          <w:highlight w:val="none"/>
        </w:rPr>
        <w:t>在交易中心委托网络安全服务机构对安全性和可能存在的风险进行复测评估时，服务团队提供配合进行系统漏洞修复、风险消除等相关服务。</w:t>
      </w:r>
    </w:p>
    <w:p>
      <w:pPr>
        <w:pStyle w:val="3"/>
        <w:keepLines w:val="0"/>
        <w:pageBreakBefore w:val="0"/>
        <w:widowControl/>
        <w:shd w:val="clear"/>
        <w:kinsoku/>
        <w:wordWrap/>
        <w:overflowPunct/>
        <w:topLinePunct w:val="0"/>
        <w:autoSpaceDE/>
        <w:autoSpaceDN/>
        <w:bidi w:val="0"/>
        <w:adjustRightInd/>
        <w:snapToGrid/>
        <w:spacing w:before="0" w:after="0" w:line="580" w:lineRule="exact"/>
        <w:ind w:firstLine="645"/>
        <w:textAlignment w:val="auto"/>
        <w:outlineLvl w:val="2"/>
        <w:rPr>
          <w:highlight w:val="none"/>
        </w:rPr>
      </w:pPr>
      <w:r>
        <w:rPr>
          <w:rFonts w:ascii="楷体" w:hAnsi="楷体" w:eastAsia="楷体" w:cs="楷体"/>
          <w:b w:val="0"/>
          <w:bCs w:val="0"/>
          <w:sz w:val="32"/>
          <w:szCs w:val="32"/>
          <w:highlight w:val="none"/>
        </w:rPr>
        <w:t>（五）应急事故处理服务</w:t>
      </w:r>
    </w:p>
    <w:p>
      <w:pPr>
        <w:keepLines w:val="0"/>
        <w:pageBreakBefore w:val="0"/>
        <w:widowControl/>
        <w:shd w:val="clear"/>
        <w:kinsoku/>
        <w:wordWrap/>
        <w:overflowPunct/>
        <w:topLinePunct w:val="0"/>
        <w:autoSpaceDE/>
        <w:autoSpaceDN/>
        <w:bidi w:val="0"/>
        <w:adjustRightInd/>
        <w:snapToGrid/>
        <w:spacing w:line="580" w:lineRule="exact"/>
        <w:ind w:firstLine="645"/>
        <w:textAlignment w:val="auto"/>
        <w:rPr>
          <w:highlight w:val="none"/>
        </w:rPr>
      </w:pPr>
      <w:r>
        <w:rPr>
          <w:rFonts w:ascii="仿宋" w:hAnsi="仿宋" w:eastAsia="仿宋" w:cs="仿宋"/>
          <w:sz w:val="32"/>
          <w:szCs w:val="32"/>
          <w:highlight w:val="none"/>
        </w:rPr>
        <w:t>服务团队提供应急事故处理服务，执行应急事故处理工作流程，通过应急预案快速解决系统运行中出现的相关事故，具体包含项目解密失败、招投标应用系统瘫痪，硬件设备故障、停电、断网、数据灾难等。</w:t>
      </w:r>
    </w:p>
    <w:p>
      <w:pPr>
        <w:pStyle w:val="3"/>
        <w:keepLines w:val="0"/>
        <w:pageBreakBefore w:val="0"/>
        <w:widowControl/>
        <w:shd w:val="clear"/>
        <w:kinsoku/>
        <w:wordWrap/>
        <w:overflowPunct/>
        <w:topLinePunct w:val="0"/>
        <w:autoSpaceDE/>
        <w:autoSpaceDN/>
        <w:bidi w:val="0"/>
        <w:adjustRightInd/>
        <w:snapToGrid/>
        <w:spacing w:before="0" w:after="0" w:line="580" w:lineRule="exact"/>
        <w:ind w:firstLine="645"/>
        <w:textAlignment w:val="auto"/>
        <w:outlineLvl w:val="2"/>
        <w:rPr>
          <w:highlight w:val="none"/>
        </w:rPr>
      </w:pPr>
      <w:r>
        <w:rPr>
          <w:rFonts w:ascii="楷体" w:hAnsi="楷体" w:eastAsia="楷体" w:cs="楷体"/>
          <w:b w:val="0"/>
          <w:bCs w:val="0"/>
          <w:sz w:val="32"/>
          <w:szCs w:val="32"/>
          <w:highlight w:val="none"/>
        </w:rPr>
        <w:t>（六）数据推送保障服务</w:t>
      </w:r>
    </w:p>
    <w:p>
      <w:pPr>
        <w:keepLines w:val="0"/>
        <w:pageBreakBefore w:val="0"/>
        <w:widowControl/>
        <w:shd w:val="clear"/>
        <w:kinsoku/>
        <w:wordWrap/>
        <w:overflowPunct/>
        <w:topLinePunct w:val="0"/>
        <w:autoSpaceDE/>
        <w:autoSpaceDN/>
        <w:bidi w:val="0"/>
        <w:adjustRightInd/>
        <w:snapToGrid/>
        <w:spacing w:line="580" w:lineRule="exact"/>
        <w:ind w:firstLine="645"/>
        <w:textAlignment w:val="auto"/>
        <w:rPr>
          <w:highlight w:val="none"/>
        </w:rPr>
      </w:pPr>
      <w:r>
        <w:rPr>
          <w:rFonts w:ascii="仿宋" w:hAnsi="仿宋" w:eastAsia="仿宋" w:cs="仿宋"/>
          <w:sz w:val="32"/>
          <w:szCs w:val="32"/>
          <w:highlight w:val="none"/>
        </w:rPr>
        <w:t>服务团队提供平台各项数据推送服务保障服务，包含福建省公共资源电子服务平台数据推送服务保障、福州市公共资源交易网站数据推送服务保障、市政务数据汇聚共享应用平台等，以及各项数据推送接口的优化调整工作，确保推送到各平台数据的及时性、完整性和准确性。</w:t>
      </w:r>
    </w:p>
    <w:p>
      <w:pPr>
        <w:pStyle w:val="3"/>
        <w:keepLines w:val="0"/>
        <w:pageBreakBefore w:val="0"/>
        <w:widowControl/>
        <w:shd w:val="clear"/>
        <w:kinsoku/>
        <w:wordWrap/>
        <w:overflowPunct/>
        <w:topLinePunct w:val="0"/>
        <w:autoSpaceDE/>
        <w:autoSpaceDN/>
        <w:bidi w:val="0"/>
        <w:adjustRightInd/>
        <w:snapToGrid/>
        <w:spacing w:before="0" w:after="0" w:line="580" w:lineRule="exact"/>
        <w:ind w:firstLine="645"/>
        <w:textAlignment w:val="auto"/>
        <w:outlineLvl w:val="2"/>
        <w:rPr>
          <w:highlight w:val="none"/>
        </w:rPr>
      </w:pPr>
      <w:r>
        <w:rPr>
          <w:rFonts w:ascii="楷体" w:hAnsi="楷体" w:eastAsia="楷体" w:cs="楷体"/>
          <w:b w:val="0"/>
          <w:bCs w:val="0"/>
          <w:sz w:val="32"/>
          <w:szCs w:val="32"/>
          <w:highlight w:val="none"/>
        </w:rPr>
        <w:t>（七）开标视频直播保障服务</w:t>
      </w:r>
    </w:p>
    <w:p>
      <w:pPr>
        <w:keepLines w:val="0"/>
        <w:pageBreakBefore w:val="0"/>
        <w:widowControl/>
        <w:shd w:val="clear"/>
        <w:kinsoku/>
        <w:wordWrap/>
        <w:overflowPunct/>
        <w:topLinePunct w:val="0"/>
        <w:autoSpaceDE/>
        <w:autoSpaceDN/>
        <w:bidi w:val="0"/>
        <w:adjustRightInd/>
        <w:snapToGrid/>
        <w:spacing w:line="580" w:lineRule="exact"/>
        <w:ind w:firstLine="645"/>
        <w:textAlignment w:val="auto"/>
        <w:rPr>
          <w:highlight w:val="none"/>
        </w:rPr>
      </w:pPr>
      <w:r>
        <w:rPr>
          <w:rFonts w:ascii="仿宋" w:hAnsi="仿宋" w:eastAsia="仿宋" w:cs="仿宋"/>
          <w:sz w:val="32"/>
          <w:szCs w:val="32"/>
          <w:highlight w:val="none"/>
        </w:rPr>
        <w:t>为开标现场视频提供直播保障服务，交易现场开标室的监控设备须具备连接互联网的功能，平台实现与此类监控设备的集成，实时地将开标情况在网站上进行在线直播。省级项目需3路直播信号，非省级项目需2路直播信号。视频直播所需包括但不限于带宽租赁费用、视频网站服务租赁费用等由供应商负责。</w:t>
      </w:r>
    </w:p>
    <w:p>
      <w:pPr>
        <w:keepLines w:val="0"/>
        <w:pageBreakBefore w:val="0"/>
        <w:widowControl/>
        <w:shd w:val="clear"/>
        <w:kinsoku/>
        <w:wordWrap/>
        <w:overflowPunct/>
        <w:topLinePunct w:val="0"/>
        <w:autoSpaceDE/>
        <w:autoSpaceDN/>
        <w:bidi w:val="0"/>
        <w:adjustRightInd/>
        <w:snapToGrid/>
        <w:spacing w:line="580" w:lineRule="exact"/>
        <w:ind w:left="0" w:firstLine="645"/>
        <w:textAlignment w:val="auto"/>
        <w:rPr>
          <w:highlight w:val="none"/>
        </w:rPr>
      </w:pPr>
      <w:r>
        <w:rPr>
          <w:rFonts w:ascii="楷体" w:hAnsi="楷体" w:eastAsia="楷体" w:cs="楷体"/>
          <w:sz w:val="32"/>
          <w:szCs w:val="32"/>
          <w:highlight w:val="none"/>
        </w:rPr>
        <w:t>（八）专家</w:t>
      </w:r>
      <w:r>
        <w:rPr>
          <w:rStyle w:val="12"/>
          <w:rFonts w:ascii="楷体" w:hAnsi="楷体" w:eastAsia="楷体" w:cs="楷体"/>
          <w:sz w:val="32"/>
          <w:szCs w:val="32"/>
          <w:highlight w:val="none"/>
        </w:rPr>
        <w:t>电签</w:t>
      </w:r>
      <w:r>
        <w:rPr>
          <w:rFonts w:ascii="楷体" w:hAnsi="楷体" w:eastAsia="楷体" w:cs="楷体"/>
          <w:sz w:val="32"/>
          <w:szCs w:val="32"/>
          <w:highlight w:val="none"/>
        </w:rPr>
        <w:t>服务</w:t>
      </w:r>
    </w:p>
    <w:p>
      <w:pPr>
        <w:keepLines w:val="0"/>
        <w:pageBreakBefore w:val="0"/>
        <w:widowControl/>
        <w:shd w:val="clear"/>
        <w:kinsoku/>
        <w:wordWrap/>
        <w:overflowPunct/>
        <w:topLinePunct w:val="0"/>
        <w:autoSpaceDE/>
        <w:autoSpaceDN/>
        <w:bidi w:val="0"/>
        <w:adjustRightInd/>
        <w:snapToGrid/>
        <w:spacing w:line="580" w:lineRule="exact"/>
        <w:ind w:firstLine="645"/>
        <w:textAlignment w:val="auto"/>
        <w:rPr>
          <w:highlight w:val="none"/>
        </w:rPr>
      </w:pPr>
      <w:r>
        <w:rPr>
          <w:rFonts w:ascii="仿宋" w:hAnsi="仿宋" w:eastAsia="仿宋" w:cs="仿宋"/>
          <w:sz w:val="32"/>
          <w:szCs w:val="32"/>
          <w:highlight w:val="none"/>
        </w:rPr>
        <w:t>提供评标专家电子签章软件服务，支持专家在评标报告、评审表格等文件上进行手写电子签名与数字证书签章，并与现有评标系统深度集成，实现签名操作与评标流程节点绑定、行为可追溯，签章文件须符合</w:t>
      </w:r>
      <w:r>
        <w:rPr>
          <w:rStyle w:val="24"/>
          <w:rFonts w:ascii="仿宋" w:hAnsi="仿宋" w:eastAsia="仿宋" w:cs="仿宋"/>
          <w:sz w:val="32"/>
          <w:szCs w:val="32"/>
          <w:highlight w:val="none"/>
        </w:rPr>
        <w:t>《中华人民共和国电子签名法》</w:t>
      </w:r>
      <w:r>
        <w:rPr>
          <w:rFonts w:ascii="仿宋" w:hAnsi="仿宋" w:eastAsia="仿宋" w:cs="仿宋"/>
          <w:sz w:val="32"/>
          <w:szCs w:val="32"/>
          <w:highlight w:val="none"/>
        </w:rPr>
        <w:t>及招投标业务安全规范，可基于数字证书（CA）进行签章验证；供应商负责签章软件的部署、调试、日常运维及版本升级，若后续省级或市级出台新的专家电子签章技术标准或操作规程，须及时适配改造；上述服务所需全部软件授权使用费、维护费及人员服务费用均由供应商承担。</w:t>
      </w:r>
    </w:p>
    <w:p>
      <w:pPr>
        <w:pStyle w:val="3"/>
        <w:keepLines w:val="0"/>
        <w:pageBreakBefore w:val="0"/>
        <w:widowControl/>
        <w:shd w:val="clear"/>
        <w:kinsoku/>
        <w:wordWrap/>
        <w:overflowPunct/>
        <w:topLinePunct w:val="0"/>
        <w:autoSpaceDE/>
        <w:autoSpaceDN/>
        <w:bidi w:val="0"/>
        <w:adjustRightInd/>
        <w:snapToGrid/>
        <w:spacing w:before="0" w:after="0" w:line="580" w:lineRule="exact"/>
        <w:ind w:left="360" w:firstLine="315"/>
        <w:textAlignment w:val="auto"/>
        <w:outlineLvl w:val="2"/>
        <w:rPr>
          <w:highlight w:val="none"/>
        </w:rPr>
      </w:pPr>
      <w:r>
        <w:rPr>
          <w:rFonts w:ascii="楷体" w:hAnsi="楷体" w:eastAsia="楷体" w:cs="楷体"/>
          <w:b w:val="0"/>
          <w:bCs w:val="0"/>
          <w:sz w:val="32"/>
          <w:szCs w:val="32"/>
          <w:highlight w:val="none"/>
        </w:rPr>
        <w:t>（九）远程异地评标视频会议保障服务</w:t>
      </w:r>
    </w:p>
    <w:p>
      <w:pPr>
        <w:keepLines w:val="0"/>
        <w:pageBreakBefore w:val="0"/>
        <w:widowControl/>
        <w:shd w:val="clear"/>
        <w:kinsoku/>
        <w:wordWrap/>
        <w:overflowPunct/>
        <w:topLinePunct w:val="0"/>
        <w:autoSpaceDE/>
        <w:autoSpaceDN/>
        <w:bidi w:val="0"/>
        <w:adjustRightInd/>
        <w:snapToGrid/>
        <w:spacing w:line="580" w:lineRule="exact"/>
        <w:ind w:firstLine="645"/>
        <w:textAlignment w:val="auto"/>
        <w:rPr>
          <w:highlight w:val="none"/>
        </w:rPr>
      </w:pPr>
      <w:r>
        <w:rPr>
          <w:rFonts w:ascii="仿宋" w:hAnsi="仿宋" w:eastAsia="仿宋" w:cs="仿宋"/>
          <w:sz w:val="32"/>
          <w:szCs w:val="32"/>
          <w:highlight w:val="none"/>
        </w:rPr>
        <w:t>为远程异地评标项目提供视频会议保障服务，在项目评标阶段为评标室提供视频会议服务，包括免注册入会、视频聊天、本地麦克风/摄像头选择与控制、参会者管理、文字聊天、会议共享、视频布局设置、免登录会议录制、点名报到、会议投票、会议设置等功能。上述视频会议服务所需的全部软件服务费用由供应商承担。</w:t>
      </w:r>
    </w:p>
    <w:p>
      <w:pPr>
        <w:keepLines w:val="0"/>
        <w:pageBreakBefore w:val="0"/>
        <w:widowControl/>
        <w:shd w:val="clear"/>
        <w:kinsoku/>
        <w:wordWrap/>
        <w:overflowPunct/>
        <w:topLinePunct w:val="0"/>
        <w:autoSpaceDE/>
        <w:autoSpaceDN/>
        <w:bidi w:val="0"/>
        <w:adjustRightInd/>
        <w:snapToGrid/>
        <w:spacing w:line="580" w:lineRule="exact"/>
        <w:ind w:firstLine="645"/>
        <w:textAlignment w:val="auto"/>
        <w:rPr>
          <w:rFonts w:hint="eastAsia" w:ascii="楷体" w:hAnsi="楷体" w:eastAsia="楷体" w:cs="楷体"/>
          <w:sz w:val="32"/>
          <w:szCs w:val="32"/>
          <w:highlight w:val="none"/>
        </w:rPr>
      </w:pPr>
      <w:r>
        <w:rPr>
          <w:rFonts w:hint="eastAsia" w:ascii="楷体" w:hAnsi="楷体" w:eastAsia="楷体" w:cs="楷体"/>
          <w:sz w:val="32"/>
          <w:szCs w:val="32"/>
          <w:highlight w:val="none"/>
        </w:rPr>
        <w:t>（十）项目技术移交服务</w:t>
      </w:r>
    </w:p>
    <w:p>
      <w:pPr>
        <w:keepLines w:val="0"/>
        <w:pageBreakBefore w:val="0"/>
        <w:widowControl/>
        <w:shd w:val="clear"/>
        <w:kinsoku/>
        <w:wordWrap/>
        <w:overflowPunct/>
        <w:topLinePunct w:val="0"/>
        <w:autoSpaceDE/>
        <w:autoSpaceDN/>
        <w:bidi w:val="0"/>
        <w:adjustRightInd/>
        <w:snapToGrid/>
        <w:spacing w:line="580" w:lineRule="exact"/>
        <w:ind w:firstLine="645"/>
        <w:textAlignment w:val="auto"/>
        <w:rPr>
          <w:rFonts w:ascii="仿宋" w:hAnsi="仿宋" w:eastAsia="仿宋" w:cs="仿宋"/>
          <w:sz w:val="32"/>
          <w:szCs w:val="32"/>
          <w:highlight w:val="none"/>
        </w:rPr>
      </w:pPr>
      <w:r>
        <w:rPr>
          <w:rFonts w:ascii="仿宋" w:hAnsi="仿宋" w:eastAsia="仿宋" w:cs="仿宋"/>
          <w:sz w:val="32"/>
          <w:szCs w:val="32"/>
          <w:highlight w:val="none"/>
        </w:rPr>
        <w:t>技术服务期满时，供应商须向交易中心移交以下内容：</w:t>
      </w:r>
    </w:p>
    <w:p>
      <w:pPr>
        <w:keepLines w:val="0"/>
        <w:pageBreakBefore w:val="0"/>
        <w:widowControl/>
        <w:shd w:val="clear"/>
        <w:kinsoku/>
        <w:wordWrap/>
        <w:overflowPunct/>
        <w:topLinePunct w:val="0"/>
        <w:autoSpaceDE/>
        <w:autoSpaceDN/>
        <w:bidi w:val="0"/>
        <w:adjustRightInd/>
        <w:snapToGrid/>
        <w:spacing w:line="580" w:lineRule="exact"/>
        <w:ind w:firstLine="645"/>
        <w:textAlignment w:val="auto"/>
        <w:rPr>
          <w:rFonts w:ascii="仿宋" w:hAnsi="仿宋" w:eastAsia="仿宋" w:cs="仿宋"/>
          <w:sz w:val="32"/>
          <w:szCs w:val="32"/>
          <w:highlight w:val="none"/>
        </w:rPr>
      </w:pPr>
      <w:r>
        <w:rPr>
          <w:rFonts w:ascii="仿宋" w:hAnsi="仿宋" w:eastAsia="仿宋" w:cs="仿宋"/>
          <w:sz w:val="32"/>
          <w:szCs w:val="32"/>
          <w:highlight w:val="none"/>
        </w:rPr>
        <w:t>1.移交技术服务期间产生的全部业务数据、系统日志、配置文件等数据资产，以及为履行本合同而开发的所有功能模块的完整源代码及相关技术文档。</w:t>
      </w:r>
    </w:p>
    <w:p>
      <w:pPr>
        <w:keepLines w:val="0"/>
        <w:pageBreakBefore w:val="0"/>
        <w:widowControl/>
        <w:shd w:val="clear"/>
        <w:kinsoku/>
        <w:wordWrap/>
        <w:overflowPunct/>
        <w:topLinePunct w:val="0"/>
        <w:autoSpaceDE/>
        <w:autoSpaceDN/>
        <w:bidi w:val="0"/>
        <w:adjustRightInd/>
        <w:snapToGrid/>
        <w:spacing w:line="580" w:lineRule="exact"/>
        <w:ind w:firstLine="645"/>
        <w:textAlignment w:val="auto"/>
        <w:rPr>
          <w:rFonts w:ascii="仿宋" w:hAnsi="仿宋" w:eastAsia="仿宋" w:cs="仿宋"/>
          <w:sz w:val="32"/>
          <w:szCs w:val="32"/>
          <w:highlight w:val="none"/>
        </w:rPr>
      </w:pPr>
      <w:r>
        <w:rPr>
          <w:rFonts w:ascii="仿宋" w:hAnsi="仿宋" w:eastAsia="仿宋" w:cs="仿宋"/>
          <w:sz w:val="32"/>
          <w:szCs w:val="32"/>
          <w:highlight w:val="none"/>
        </w:rPr>
        <w:t>2.在移交之前，供应商负责完成系统当年度（或移交前最近一个周期）的安全测评、漏洞扫描及渗透测试工作，并根据评估报告完成所有高风险和中风险漏洞的修复，确保系统安全合规。</w:t>
      </w:r>
    </w:p>
    <w:p>
      <w:pPr>
        <w:keepLines w:val="0"/>
        <w:pageBreakBefore w:val="0"/>
        <w:widowControl/>
        <w:shd w:val="clear"/>
        <w:kinsoku/>
        <w:wordWrap/>
        <w:overflowPunct/>
        <w:topLinePunct w:val="0"/>
        <w:autoSpaceDE/>
        <w:autoSpaceDN/>
        <w:bidi w:val="0"/>
        <w:adjustRightInd/>
        <w:snapToGrid/>
        <w:spacing w:line="580" w:lineRule="exact"/>
        <w:ind w:firstLine="645"/>
        <w:textAlignment w:val="auto"/>
        <w:rPr>
          <w:rFonts w:ascii="仿宋" w:hAnsi="仿宋" w:eastAsia="仿宋" w:cs="仿宋"/>
          <w:sz w:val="32"/>
          <w:szCs w:val="32"/>
          <w:highlight w:val="none"/>
        </w:rPr>
      </w:pPr>
      <w:r>
        <w:rPr>
          <w:rFonts w:ascii="仿宋" w:hAnsi="仿宋" w:eastAsia="仿宋" w:cs="仿宋"/>
          <w:sz w:val="32"/>
          <w:szCs w:val="32"/>
          <w:highlight w:val="none"/>
        </w:rPr>
        <w:t>3.上述安全测评、漏洞扫描、渗透测试及修复工作所产生的全部费用，以及移交期间因平台安全或数据问题引发的法律责任，均由供应商承担。</w:t>
      </w:r>
    </w:p>
    <w:p>
      <w:pPr>
        <w:pStyle w:val="2"/>
        <w:keepLines w:val="0"/>
        <w:pageBreakBefore w:val="0"/>
        <w:widowControl/>
        <w:shd w:val="clear"/>
        <w:kinsoku/>
        <w:wordWrap/>
        <w:overflowPunct/>
        <w:topLinePunct w:val="0"/>
        <w:autoSpaceDE/>
        <w:autoSpaceDN/>
        <w:bidi w:val="0"/>
        <w:adjustRightInd/>
        <w:snapToGrid/>
        <w:spacing w:before="0" w:after="0" w:line="580" w:lineRule="exact"/>
        <w:ind w:firstLine="645"/>
        <w:textAlignment w:val="auto"/>
        <w:outlineLvl w:val="1"/>
        <w:rPr>
          <w:i w:val="0"/>
          <w:iCs w:val="0"/>
          <w:highlight w:val="none"/>
        </w:rPr>
      </w:pPr>
      <w:r>
        <w:rPr>
          <w:rFonts w:ascii="黑体" w:hAnsi="黑体" w:eastAsia="黑体" w:cs="黑体"/>
          <w:i w:val="0"/>
          <w:iCs w:val="0"/>
          <w:sz w:val="32"/>
          <w:szCs w:val="32"/>
          <w:highlight w:val="none"/>
        </w:rPr>
        <w:t>五、服务考核</w:t>
      </w:r>
    </w:p>
    <w:p>
      <w:pPr>
        <w:keepLines w:val="0"/>
        <w:pageBreakBefore w:val="0"/>
        <w:widowControl/>
        <w:shd w:val="clear"/>
        <w:kinsoku/>
        <w:wordWrap/>
        <w:overflowPunct/>
        <w:topLinePunct w:val="0"/>
        <w:autoSpaceDE/>
        <w:autoSpaceDN/>
        <w:bidi w:val="0"/>
        <w:adjustRightInd/>
        <w:snapToGrid/>
        <w:spacing w:line="580" w:lineRule="exact"/>
        <w:ind w:firstLine="645"/>
        <w:textAlignment w:val="auto"/>
        <w:rPr>
          <w:rFonts w:ascii="Calibri" w:hAnsi="Calibri" w:eastAsia="Calibri" w:cs="Calibri"/>
          <w:sz w:val="32"/>
          <w:szCs w:val="32"/>
          <w:highlight w:val="none"/>
        </w:rPr>
      </w:pPr>
      <w:r>
        <w:rPr>
          <w:rFonts w:ascii="仿宋" w:hAnsi="仿宋" w:eastAsia="仿宋" w:cs="仿宋"/>
          <w:sz w:val="32"/>
          <w:szCs w:val="32"/>
          <w:highlight w:val="none"/>
        </w:rPr>
        <w:t>每周期根据考核结果核算技术服务费。</w:t>
      </w:r>
    </w:p>
    <w:tbl>
      <w:tblPr>
        <w:tblStyle w:val="6"/>
        <w:tblpPr w:leftFromText="180" w:rightFromText="180" w:vertAnchor="text" w:horzAnchor="page" w:tblpXSpec="center" w:tblpY="867"/>
        <w:tblOverlap w:val="never"/>
        <w:tblW w:w="499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75"/>
        <w:gridCol w:w="2450"/>
        <w:gridCol w:w="1002"/>
        <w:gridCol w:w="391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34" w:type="pct"/>
          </w:tcPr>
          <w:p>
            <w:pPr>
              <w:widowControl w:val="0"/>
              <w:shd w:val="clear"/>
              <w:jc w:val="left"/>
              <w:rPr>
                <w:rFonts w:ascii="仿宋" w:hAnsi="仿宋" w:eastAsia="仿宋" w:cs="仿宋"/>
                <w:sz w:val="30"/>
                <w:szCs w:val="30"/>
                <w:highlight w:val="none"/>
              </w:rPr>
            </w:pPr>
            <w:r>
              <w:rPr>
                <w:rFonts w:hint="eastAsia" w:ascii="仿宋" w:hAnsi="仿宋" w:eastAsia="仿宋" w:cs="仿宋"/>
                <w:b/>
                <w:bCs/>
                <w:sz w:val="30"/>
                <w:szCs w:val="30"/>
                <w:highlight w:val="none"/>
              </w:rPr>
              <w:t>项目名称</w:t>
            </w:r>
          </w:p>
        </w:tc>
        <w:tc>
          <w:tcPr>
            <w:tcW w:w="4165" w:type="pct"/>
            <w:gridSpan w:val="3"/>
          </w:tcPr>
          <w:p>
            <w:pPr>
              <w:widowControl w:val="0"/>
              <w:shd w:val="clear"/>
              <w:jc w:val="left"/>
              <w:rPr>
                <w:rFonts w:ascii="仿宋" w:hAnsi="仿宋" w:eastAsia="仿宋" w:cs="仿宋"/>
                <w:sz w:val="30"/>
                <w:szCs w:val="30"/>
                <w:highlight w:val="none"/>
              </w:rPr>
            </w:pPr>
            <w:r>
              <w:rPr>
                <w:rFonts w:hint="eastAsia" w:ascii="仿宋" w:hAnsi="仿宋" w:eastAsia="仿宋" w:cs="仿宋"/>
                <w:b/>
                <w:bCs/>
                <w:sz w:val="30"/>
                <w:szCs w:val="30"/>
                <w:highlight w:val="none"/>
              </w:rPr>
              <w:t>福州市电子招投标交易系统技术服务项目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34" w:type="pct"/>
          </w:tcPr>
          <w:p>
            <w:pPr>
              <w:widowControl w:val="0"/>
              <w:shd w:val="clear"/>
              <w:jc w:val="left"/>
              <w:rPr>
                <w:rFonts w:ascii="仿宋" w:hAnsi="仿宋" w:eastAsia="仿宋" w:cs="仿宋"/>
                <w:b/>
                <w:bCs/>
                <w:sz w:val="30"/>
                <w:szCs w:val="30"/>
                <w:highlight w:val="none"/>
              </w:rPr>
            </w:pPr>
            <w:r>
              <w:rPr>
                <w:rFonts w:hint="eastAsia" w:ascii="仿宋" w:hAnsi="仿宋" w:eastAsia="仿宋" w:cs="仿宋"/>
                <w:b/>
                <w:bCs/>
                <w:sz w:val="30"/>
                <w:szCs w:val="30"/>
                <w:highlight w:val="none"/>
              </w:rPr>
              <w:t>用户单位</w:t>
            </w:r>
          </w:p>
        </w:tc>
        <w:tc>
          <w:tcPr>
            <w:tcW w:w="4165" w:type="pct"/>
            <w:gridSpan w:val="3"/>
          </w:tcPr>
          <w:p>
            <w:pPr>
              <w:widowControl w:val="0"/>
              <w:shd w:val="clear"/>
              <w:jc w:val="left"/>
              <w:rPr>
                <w:rFonts w:ascii="仿宋" w:hAnsi="仿宋" w:eastAsia="仿宋" w:cs="仿宋"/>
                <w:b/>
                <w:bCs/>
                <w:sz w:val="30"/>
                <w:szCs w:val="30"/>
                <w:highlight w:val="none"/>
              </w:rPr>
            </w:pPr>
            <w:r>
              <w:rPr>
                <w:rFonts w:hint="eastAsia" w:ascii="仿宋" w:hAnsi="仿宋" w:eastAsia="仿宋" w:cs="仿宋"/>
                <w:b/>
                <w:bCs/>
                <w:sz w:val="30"/>
                <w:szCs w:val="30"/>
                <w:highlight w:val="none"/>
              </w:rPr>
              <w:t>福州市公共资源交易服务中心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34" w:type="pct"/>
          </w:tcPr>
          <w:p>
            <w:pPr>
              <w:widowControl w:val="0"/>
              <w:shd w:val="clear"/>
              <w:jc w:val="left"/>
              <w:rPr>
                <w:rFonts w:ascii="仿宋" w:hAnsi="仿宋" w:eastAsia="仿宋" w:cs="仿宋"/>
                <w:b/>
                <w:bCs/>
                <w:sz w:val="30"/>
                <w:szCs w:val="30"/>
                <w:highlight w:val="none"/>
              </w:rPr>
            </w:pPr>
            <w:r>
              <w:rPr>
                <w:rFonts w:hint="eastAsia" w:ascii="仿宋" w:hAnsi="仿宋" w:eastAsia="仿宋" w:cs="仿宋"/>
                <w:b/>
                <w:bCs/>
                <w:sz w:val="30"/>
                <w:szCs w:val="30"/>
                <w:highlight w:val="none"/>
              </w:rPr>
              <w:t>技术服务单位</w:t>
            </w:r>
          </w:p>
        </w:tc>
        <w:tc>
          <w:tcPr>
            <w:tcW w:w="4165" w:type="pct"/>
            <w:gridSpan w:val="3"/>
          </w:tcPr>
          <w:p>
            <w:pPr>
              <w:widowControl w:val="0"/>
              <w:shd w:val="clear"/>
              <w:jc w:val="left"/>
              <w:rPr>
                <w:rFonts w:ascii="仿宋" w:hAnsi="仿宋" w:eastAsia="仿宋" w:cs="仿宋"/>
                <w:b/>
                <w:bCs/>
                <w:sz w:val="30"/>
                <w:szCs w:val="3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34" w:type="pct"/>
          </w:tcPr>
          <w:p>
            <w:pPr>
              <w:widowControl w:val="0"/>
              <w:shd w:val="clear"/>
              <w:jc w:val="left"/>
              <w:rPr>
                <w:rFonts w:ascii="仿宋" w:hAnsi="仿宋" w:eastAsia="仿宋" w:cs="仿宋"/>
                <w:b/>
                <w:bCs/>
                <w:sz w:val="30"/>
                <w:szCs w:val="30"/>
                <w:highlight w:val="none"/>
              </w:rPr>
            </w:pPr>
            <w:r>
              <w:rPr>
                <w:rFonts w:hint="eastAsia" w:ascii="仿宋" w:hAnsi="仿宋" w:eastAsia="仿宋" w:cs="仿宋"/>
                <w:b/>
                <w:bCs/>
                <w:sz w:val="30"/>
                <w:szCs w:val="30"/>
                <w:highlight w:val="none"/>
              </w:rPr>
              <w:t>考核日期</w:t>
            </w:r>
          </w:p>
        </w:tc>
        <w:tc>
          <w:tcPr>
            <w:tcW w:w="1386" w:type="pct"/>
          </w:tcPr>
          <w:p>
            <w:pPr>
              <w:widowControl w:val="0"/>
              <w:shd w:val="clear"/>
              <w:jc w:val="left"/>
              <w:rPr>
                <w:rFonts w:ascii="仿宋" w:hAnsi="仿宋" w:eastAsia="仿宋" w:cs="仿宋"/>
                <w:b/>
                <w:bCs/>
                <w:sz w:val="30"/>
                <w:szCs w:val="30"/>
                <w:highlight w:val="none"/>
              </w:rPr>
            </w:pPr>
          </w:p>
        </w:tc>
        <w:tc>
          <w:tcPr>
            <w:tcW w:w="567" w:type="pct"/>
          </w:tcPr>
          <w:p>
            <w:pPr>
              <w:widowControl w:val="0"/>
              <w:shd w:val="clear"/>
              <w:jc w:val="left"/>
              <w:rPr>
                <w:rFonts w:ascii="仿宋" w:hAnsi="仿宋" w:eastAsia="仿宋" w:cs="仿宋"/>
                <w:b/>
                <w:bCs/>
                <w:sz w:val="30"/>
                <w:szCs w:val="30"/>
                <w:highlight w:val="none"/>
              </w:rPr>
            </w:pPr>
            <w:r>
              <w:rPr>
                <w:rFonts w:hint="eastAsia" w:ascii="仿宋" w:hAnsi="仿宋" w:eastAsia="仿宋" w:cs="仿宋"/>
                <w:b/>
                <w:bCs/>
                <w:sz w:val="30"/>
                <w:szCs w:val="30"/>
                <w:highlight w:val="none"/>
              </w:rPr>
              <w:t>备注</w:t>
            </w:r>
          </w:p>
        </w:tc>
        <w:tc>
          <w:tcPr>
            <w:tcW w:w="2211" w:type="pct"/>
          </w:tcPr>
          <w:p>
            <w:pPr>
              <w:widowControl w:val="0"/>
              <w:shd w:val="clear"/>
              <w:jc w:val="left"/>
              <w:rPr>
                <w:rFonts w:ascii="仿宋" w:hAnsi="仿宋" w:eastAsia="仿宋" w:cs="仿宋"/>
                <w:b/>
                <w:bCs/>
                <w:sz w:val="30"/>
                <w:szCs w:val="3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000" w:type="pct"/>
            <w:gridSpan w:val="4"/>
          </w:tcPr>
          <w:p>
            <w:pPr>
              <w:widowControl w:val="0"/>
              <w:shd w:val="clear"/>
              <w:jc w:val="left"/>
              <w:rPr>
                <w:rFonts w:ascii="仿宋" w:hAnsi="仿宋" w:eastAsia="仿宋" w:cs="仿宋"/>
                <w:b/>
                <w:bCs/>
                <w:sz w:val="30"/>
                <w:szCs w:val="30"/>
                <w:highlight w:val="none"/>
              </w:rPr>
            </w:pPr>
            <w:r>
              <w:rPr>
                <w:rFonts w:hint="eastAsia" w:ascii="仿宋" w:hAnsi="仿宋" w:eastAsia="仿宋" w:cs="仿宋"/>
                <w:b/>
                <w:bCs/>
                <w:sz w:val="30"/>
                <w:szCs w:val="30"/>
                <w:highlight w:val="none"/>
              </w:rPr>
              <w:t>周期考核内容：</w:t>
            </w:r>
          </w:p>
          <w:tbl>
            <w:tblPr>
              <w:tblStyle w:val="5"/>
              <w:tblW w:w="8390" w:type="dxa"/>
              <w:tblInd w:w="0" w:type="dxa"/>
              <w:tblBorders>
                <w:top w:val="none" w:color="auto" w:sz="4" w:space="0"/>
                <w:left w:val="none" w:color="auto" w:sz="4" w:space="0"/>
                <w:bottom w:val="none" w:color="auto" w:sz="4" w:space="0"/>
                <w:right w:val="non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19"/>
              <w:gridCol w:w="960"/>
              <w:gridCol w:w="1745"/>
              <w:gridCol w:w="2082"/>
              <w:gridCol w:w="681"/>
              <w:gridCol w:w="960"/>
              <w:gridCol w:w="943"/>
            </w:tblGrid>
            <w:tr>
              <w:tblPrEx>
                <w:tblBorders>
                  <w:top w:val="none" w:color="auto" w:sz="4" w:space="0"/>
                  <w:left w:val="none" w:color="auto" w:sz="4" w:space="0"/>
                  <w:bottom w:val="none" w:color="auto" w:sz="4" w:space="0"/>
                  <w:right w:val="non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blHeader/>
              </w:trPr>
              <w:tc>
                <w:tcPr>
                  <w:tcW w:w="607" w:type="pct"/>
                  <w:tcBorders>
                    <w:top w:val="double" w:color="000000" w:sz="6" w:space="0"/>
                    <w:left w:val="double" w:color="000000" w:sz="6" w:space="0"/>
                  </w:tcBorders>
                  <w:shd w:val="clear" w:color="auto" w:fill="auto"/>
                  <w:vAlign w:val="center"/>
                </w:tcPr>
                <w:p>
                  <w:pPr>
                    <w:shd w:val="clear"/>
                    <w:jc w:val="center"/>
                    <w:rPr>
                      <w:rFonts w:ascii="仿宋" w:hAnsi="仿宋" w:eastAsia="仿宋"/>
                      <w:b/>
                      <w:bCs/>
                      <w:color w:val="000000"/>
                      <w:szCs w:val="21"/>
                      <w:highlight w:val="none"/>
                    </w:rPr>
                  </w:pPr>
                  <w:r>
                    <w:rPr>
                      <w:rFonts w:hint="eastAsia" w:ascii="仿宋" w:hAnsi="仿宋" w:eastAsia="仿宋"/>
                      <w:b/>
                      <w:bCs/>
                      <w:color w:val="000000"/>
                      <w:szCs w:val="21"/>
                      <w:highlight w:val="none"/>
                    </w:rPr>
                    <w:t>序号</w:t>
                  </w:r>
                </w:p>
              </w:tc>
              <w:tc>
                <w:tcPr>
                  <w:tcW w:w="572" w:type="pct"/>
                  <w:tcBorders>
                    <w:top w:val="double" w:color="000000" w:sz="6" w:space="0"/>
                  </w:tcBorders>
                  <w:shd w:val="clear" w:color="auto" w:fill="auto"/>
                  <w:vAlign w:val="center"/>
                </w:tcPr>
                <w:p>
                  <w:pPr>
                    <w:shd w:val="clear"/>
                    <w:jc w:val="center"/>
                    <w:rPr>
                      <w:rFonts w:ascii="仿宋" w:hAnsi="仿宋" w:eastAsia="仿宋"/>
                      <w:b/>
                      <w:bCs/>
                      <w:color w:val="000000"/>
                      <w:szCs w:val="21"/>
                      <w:highlight w:val="none"/>
                    </w:rPr>
                  </w:pPr>
                  <w:r>
                    <w:rPr>
                      <w:rFonts w:hint="eastAsia" w:ascii="仿宋" w:hAnsi="仿宋" w:eastAsia="仿宋"/>
                      <w:b/>
                      <w:bCs/>
                      <w:color w:val="000000"/>
                      <w:szCs w:val="21"/>
                      <w:highlight w:val="none"/>
                    </w:rPr>
                    <w:t>考核指标</w:t>
                  </w:r>
                </w:p>
              </w:tc>
              <w:tc>
                <w:tcPr>
                  <w:tcW w:w="1040" w:type="pct"/>
                  <w:tcBorders>
                    <w:top w:val="double" w:color="000000" w:sz="6" w:space="0"/>
                  </w:tcBorders>
                  <w:shd w:val="clear" w:color="auto" w:fill="auto"/>
                  <w:vAlign w:val="center"/>
                </w:tcPr>
                <w:p>
                  <w:pPr>
                    <w:shd w:val="clear"/>
                    <w:jc w:val="center"/>
                    <w:rPr>
                      <w:rFonts w:ascii="仿宋" w:hAnsi="仿宋" w:eastAsia="仿宋"/>
                      <w:b/>
                      <w:bCs/>
                      <w:color w:val="000000"/>
                      <w:szCs w:val="21"/>
                      <w:highlight w:val="none"/>
                    </w:rPr>
                  </w:pPr>
                  <w:r>
                    <w:rPr>
                      <w:rFonts w:hint="eastAsia" w:ascii="仿宋" w:hAnsi="仿宋" w:eastAsia="仿宋"/>
                      <w:b/>
                      <w:bCs/>
                      <w:color w:val="000000"/>
                      <w:szCs w:val="21"/>
                      <w:highlight w:val="none"/>
                    </w:rPr>
                    <w:t>考核说明</w:t>
                  </w:r>
                </w:p>
              </w:tc>
              <w:tc>
                <w:tcPr>
                  <w:tcW w:w="1241" w:type="pct"/>
                  <w:tcBorders>
                    <w:top w:val="double" w:color="000000" w:sz="6" w:space="0"/>
                  </w:tcBorders>
                  <w:shd w:val="clear" w:color="auto" w:fill="auto"/>
                  <w:vAlign w:val="center"/>
                </w:tcPr>
                <w:p>
                  <w:pPr>
                    <w:shd w:val="clear"/>
                    <w:jc w:val="center"/>
                    <w:rPr>
                      <w:rFonts w:ascii="仿宋" w:hAnsi="仿宋" w:eastAsia="仿宋"/>
                      <w:b/>
                      <w:bCs/>
                      <w:color w:val="000000"/>
                      <w:szCs w:val="21"/>
                      <w:highlight w:val="none"/>
                    </w:rPr>
                  </w:pPr>
                  <w:r>
                    <w:rPr>
                      <w:rFonts w:hint="eastAsia" w:ascii="仿宋" w:hAnsi="仿宋" w:eastAsia="仿宋"/>
                      <w:b/>
                      <w:bCs/>
                      <w:color w:val="000000"/>
                      <w:szCs w:val="21"/>
                      <w:highlight w:val="none"/>
                    </w:rPr>
                    <w:t>评分办法</w:t>
                  </w:r>
                </w:p>
              </w:tc>
              <w:tc>
                <w:tcPr>
                  <w:tcW w:w="406" w:type="pct"/>
                  <w:tcBorders>
                    <w:top w:val="double" w:color="000000" w:sz="6" w:space="0"/>
                  </w:tcBorders>
                  <w:shd w:val="clear" w:color="auto" w:fill="auto"/>
                  <w:vAlign w:val="center"/>
                </w:tcPr>
                <w:p>
                  <w:pPr>
                    <w:shd w:val="clear"/>
                    <w:jc w:val="center"/>
                    <w:rPr>
                      <w:rFonts w:ascii="仿宋" w:hAnsi="仿宋" w:eastAsia="仿宋"/>
                      <w:b/>
                      <w:bCs/>
                      <w:color w:val="000000"/>
                      <w:szCs w:val="21"/>
                      <w:highlight w:val="none"/>
                    </w:rPr>
                  </w:pPr>
                  <w:r>
                    <w:rPr>
                      <w:rFonts w:hint="eastAsia" w:ascii="仿宋" w:hAnsi="仿宋" w:eastAsia="仿宋"/>
                      <w:b/>
                      <w:bCs/>
                      <w:color w:val="000000"/>
                      <w:szCs w:val="21"/>
                      <w:highlight w:val="none"/>
                    </w:rPr>
                    <w:t>分值</w:t>
                  </w:r>
                </w:p>
              </w:tc>
              <w:tc>
                <w:tcPr>
                  <w:tcW w:w="572" w:type="pct"/>
                  <w:tcBorders>
                    <w:top w:val="double" w:color="000000" w:sz="6" w:space="0"/>
                  </w:tcBorders>
                  <w:shd w:val="clear" w:color="auto" w:fill="auto"/>
                  <w:vAlign w:val="center"/>
                </w:tcPr>
                <w:p>
                  <w:pPr>
                    <w:shd w:val="clear"/>
                    <w:jc w:val="center"/>
                    <w:rPr>
                      <w:rFonts w:ascii="仿宋" w:hAnsi="仿宋" w:eastAsia="仿宋"/>
                      <w:b/>
                      <w:bCs/>
                      <w:color w:val="000000"/>
                      <w:szCs w:val="21"/>
                      <w:highlight w:val="none"/>
                    </w:rPr>
                  </w:pPr>
                  <w:r>
                    <w:rPr>
                      <w:rFonts w:hint="eastAsia" w:ascii="仿宋" w:hAnsi="仿宋" w:eastAsia="仿宋"/>
                      <w:b/>
                      <w:bCs/>
                      <w:color w:val="000000"/>
                      <w:szCs w:val="21"/>
                      <w:highlight w:val="none"/>
                    </w:rPr>
                    <w:t>承建单位自评得分</w:t>
                  </w:r>
                </w:p>
              </w:tc>
              <w:tc>
                <w:tcPr>
                  <w:tcW w:w="562" w:type="pct"/>
                  <w:tcBorders>
                    <w:top w:val="double" w:color="000000" w:sz="6" w:space="0"/>
                    <w:right w:val="double" w:color="000000" w:sz="6" w:space="0"/>
                  </w:tcBorders>
                  <w:shd w:val="clear" w:color="auto" w:fill="auto"/>
                  <w:vAlign w:val="center"/>
                </w:tcPr>
                <w:p>
                  <w:pPr>
                    <w:shd w:val="clear"/>
                    <w:jc w:val="center"/>
                    <w:rPr>
                      <w:rFonts w:ascii="仿宋" w:hAnsi="仿宋" w:eastAsia="仿宋"/>
                      <w:b/>
                      <w:bCs/>
                      <w:color w:val="000000"/>
                      <w:szCs w:val="21"/>
                      <w:highlight w:val="none"/>
                    </w:rPr>
                  </w:pPr>
                  <w:r>
                    <w:rPr>
                      <w:rFonts w:hint="eastAsia" w:ascii="仿宋" w:hAnsi="仿宋" w:eastAsia="仿宋"/>
                      <w:b/>
                      <w:bCs/>
                      <w:color w:val="000000"/>
                      <w:szCs w:val="21"/>
                      <w:highlight w:val="none"/>
                    </w:rPr>
                    <w:t>用户单位评分</w:t>
                  </w:r>
                </w:p>
              </w:tc>
            </w:tr>
            <w:tr>
              <w:tblPrEx>
                <w:tblBorders>
                  <w:top w:val="none" w:color="auto" w:sz="4" w:space="0"/>
                  <w:left w:val="none" w:color="auto" w:sz="4" w:space="0"/>
                  <w:bottom w:val="none" w:color="auto" w:sz="4" w:space="0"/>
                  <w:right w:val="none" w:color="auto" w:sz="4" w:space="0"/>
                  <w:insideH w:val="single" w:color="auto" w:sz="4" w:space="0"/>
                  <w:insideV w:val="single" w:color="auto" w:sz="4" w:space="0"/>
                </w:tblBorders>
                <w:tblCellMar>
                  <w:top w:w="0" w:type="dxa"/>
                  <w:left w:w="108" w:type="dxa"/>
                  <w:bottom w:w="0" w:type="dxa"/>
                  <w:right w:w="108" w:type="dxa"/>
                </w:tblCellMar>
              </w:tblPrEx>
              <w:trPr>
                <w:trHeight w:val="1075" w:hRule="atLeast"/>
              </w:trPr>
              <w:tc>
                <w:tcPr>
                  <w:tcW w:w="607" w:type="pct"/>
                  <w:tcBorders>
                    <w:left w:val="double" w:color="000000" w:sz="6" w:space="0"/>
                  </w:tcBorders>
                  <w:shd w:val="clear" w:color="auto" w:fill="auto"/>
                  <w:vAlign w:val="center"/>
                </w:tcPr>
                <w:p>
                  <w:pPr>
                    <w:shd w:val="clear"/>
                    <w:jc w:val="center"/>
                    <w:rPr>
                      <w:rFonts w:ascii="仿宋" w:hAnsi="仿宋" w:eastAsia="仿宋"/>
                      <w:color w:val="000000"/>
                      <w:szCs w:val="21"/>
                      <w:highlight w:val="none"/>
                    </w:rPr>
                  </w:pPr>
                  <w:r>
                    <w:rPr>
                      <w:rFonts w:hint="eastAsia" w:ascii="仿宋" w:hAnsi="仿宋" w:eastAsia="仿宋"/>
                      <w:color w:val="000000"/>
                      <w:szCs w:val="21"/>
                      <w:highlight w:val="none"/>
                    </w:rPr>
                    <w:t>1</w:t>
                  </w:r>
                </w:p>
              </w:tc>
              <w:tc>
                <w:tcPr>
                  <w:tcW w:w="572" w:type="pct"/>
                  <w:shd w:val="clear" w:color="auto" w:fill="auto"/>
                  <w:vAlign w:val="center"/>
                </w:tcPr>
                <w:p>
                  <w:pPr>
                    <w:shd w:val="clear"/>
                    <w:snapToGrid w:val="0"/>
                    <w:jc w:val="center"/>
                    <w:rPr>
                      <w:rFonts w:ascii="仿宋" w:hAnsi="仿宋" w:eastAsia="仿宋" w:cs="仿宋"/>
                      <w:szCs w:val="21"/>
                      <w:highlight w:val="none"/>
                    </w:rPr>
                  </w:pPr>
                  <w:r>
                    <w:rPr>
                      <w:rFonts w:hint="eastAsia" w:ascii="仿宋" w:hAnsi="仿宋" w:eastAsia="仿宋" w:cs="仿宋"/>
                      <w:szCs w:val="21"/>
                      <w:highlight w:val="none"/>
                    </w:rPr>
                    <w:t>客服服务</w:t>
                  </w:r>
                </w:p>
              </w:tc>
              <w:tc>
                <w:tcPr>
                  <w:tcW w:w="1040" w:type="pct"/>
                  <w:shd w:val="clear" w:color="auto" w:fill="auto"/>
                  <w:vAlign w:val="center"/>
                </w:tcPr>
                <w:p>
                  <w:pPr>
                    <w:shd w:val="clear"/>
                    <w:snapToGrid w:val="0"/>
                    <w:rPr>
                      <w:rFonts w:ascii="仿宋" w:hAnsi="仿宋" w:eastAsia="仿宋" w:cs="仿宋"/>
                      <w:szCs w:val="21"/>
                      <w:highlight w:val="none"/>
                    </w:rPr>
                  </w:pPr>
                  <w:r>
                    <w:rPr>
                      <w:rFonts w:hint="eastAsia" w:ascii="仿宋" w:hAnsi="仿宋" w:eastAsia="仿宋" w:cs="仿宋"/>
                      <w:szCs w:val="21"/>
                      <w:highlight w:val="none"/>
                    </w:rPr>
                    <w:t>及时接听客服电话；耐心解答用户咨询；及时解决用户反馈的系统问题</w:t>
                  </w:r>
                </w:p>
              </w:tc>
              <w:tc>
                <w:tcPr>
                  <w:tcW w:w="1241" w:type="pct"/>
                  <w:shd w:val="clear" w:color="auto" w:fill="auto"/>
                  <w:vAlign w:val="center"/>
                </w:tcPr>
                <w:p>
                  <w:pPr>
                    <w:shd w:val="clear"/>
                    <w:snapToGrid w:val="0"/>
                    <w:rPr>
                      <w:rFonts w:ascii="仿宋" w:hAnsi="仿宋" w:eastAsia="仿宋" w:cs="仿宋"/>
                      <w:szCs w:val="21"/>
                      <w:highlight w:val="none"/>
                    </w:rPr>
                  </w:pPr>
                  <w:r>
                    <w:rPr>
                      <w:rFonts w:hint="eastAsia" w:ascii="仿宋" w:hAnsi="仿宋" w:eastAsia="仿宋" w:cs="仿宋"/>
                      <w:szCs w:val="21"/>
                      <w:highlight w:val="none"/>
                    </w:rPr>
                    <w:t>检查发现客服电话未及时接听或经核实因客服态度等服务问题导致12345投诉，一次扣1分。</w:t>
                  </w:r>
                </w:p>
              </w:tc>
              <w:tc>
                <w:tcPr>
                  <w:tcW w:w="406" w:type="pct"/>
                  <w:shd w:val="clear" w:color="auto" w:fill="auto"/>
                  <w:vAlign w:val="center"/>
                </w:tcPr>
                <w:p>
                  <w:pPr>
                    <w:shd w:val="clear"/>
                    <w:snapToGrid w:val="0"/>
                    <w:jc w:val="center"/>
                    <w:rPr>
                      <w:rFonts w:ascii="仿宋" w:hAnsi="仿宋" w:eastAsia="仿宋" w:cs="仿宋"/>
                      <w:szCs w:val="21"/>
                      <w:highlight w:val="none"/>
                    </w:rPr>
                  </w:pPr>
                  <w:r>
                    <w:rPr>
                      <w:rFonts w:hint="eastAsia" w:ascii="仿宋" w:hAnsi="仿宋" w:eastAsia="仿宋" w:cs="仿宋"/>
                      <w:szCs w:val="21"/>
                      <w:highlight w:val="none"/>
                    </w:rPr>
                    <w:t>5</w:t>
                  </w:r>
                </w:p>
              </w:tc>
              <w:tc>
                <w:tcPr>
                  <w:tcW w:w="572" w:type="pct"/>
                  <w:shd w:val="clear" w:color="auto" w:fill="auto"/>
                  <w:vAlign w:val="center"/>
                </w:tcPr>
                <w:p>
                  <w:pPr>
                    <w:shd w:val="clear"/>
                    <w:snapToGrid w:val="0"/>
                    <w:jc w:val="center"/>
                    <w:rPr>
                      <w:rFonts w:ascii="仿宋" w:hAnsi="仿宋" w:eastAsia="仿宋" w:cs="仿宋"/>
                      <w:szCs w:val="21"/>
                      <w:highlight w:val="none"/>
                    </w:rPr>
                  </w:pPr>
                </w:p>
              </w:tc>
              <w:tc>
                <w:tcPr>
                  <w:tcW w:w="562" w:type="pct"/>
                  <w:tcBorders>
                    <w:right w:val="double" w:color="000000" w:sz="6" w:space="0"/>
                  </w:tcBorders>
                  <w:shd w:val="clear" w:color="auto" w:fill="auto"/>
                  <w:vAlign w:val="center"/>
                </w:tcPr>
                <w:p>
                  <w:pPr>
                    <w:shd w:val="clear"/>
                    <w:jc w:val="center"/>
                    <w:rPr>
                      <w:rFonts w:ascii="仿宋" w:hAnsi="仿宋" w:eastAsia="仿宋"/>
                      <w:color w:val="000000"/>
                      <w:szCs w:val="21"/>
                      <w:highlight w:val="none"/>
                    </w:rPr>
                  </w:pPr>
                </w:p>
              </w:tc>
            </w:tr>
            <w:tr>
              <w:tblPrEx>
                <w:tblBorders>
                  <w:top w:val="none" w:color="auto" w:sz="4" w:space="0"/>
                  <w:left w:val="none" w:color="auto" w:sz="4" w:space="0"/>
                  <w:bottom w:val="none" w:color="auto" w:sz="4" w:space="0"/>
                  <w:right w:val="none" w:color="auto" w:sz="4" w:space="0"/>
                  <w:insideH w:val="single" w:color="auto" w:sz="4" w:space="0"/>
                  <w:insideV w:val="single" w:color="auto" w:sz="4" w:space="0"/>
                </w:tblBorders>
                <w:tblCellMar>
                  <w:top w:w="0" w:type="dxa"/>
                  <w:left w:w="108" w:type="dxa"/>
                  <w:bottom w:w="0" w:type="dxa"/>
                  <w:right w:w="108" w:type="dxa"/>
                </w:tblCellMar>
              </w:tblPrEx>
              <w:trPr>
                <w:trHeight w:val="1098" w:hRule="atLeast"/>
              </w:trPr>
              <w:tc>
                <w:tcPr>
                  <w:tcW w:w="607" w:type="pct"/>
                  <w:tcBorders>
                    <w:left w:val="double" w:color="000000" w:sz="6" w:space="0"/>
                  </w:tcBorders>
                  <w:shd w:val="clear" w:color="auto" w:fill="auto"/>
                  <w:vAlign w:val="center"/>
                </w:tcPr>
                <w:p>
                  <w:pPr>
                    <w:shd w:val="clear"/>
                    <w:jc w:val="center"/>
                    <w:rPr>
                      <w:rFonts w:ascii="仿宋" w:hAnsi="仿宋" w:eastAsia="仿宋"/>
                      <w:color w:val="000000"/>
                      <w:szCs w:val="21"/>
                      <w:highlight w:val="none"/>
                    </w:rPr>
                  </w:pPr>
                  <w:r>
                    <w:rPr>
                      <w:rFonts w:hint="eastAsia" w:ascii="仿宋" w:hAnsi="仿宋" w:eastAsia="仿宋"/>
                      <w:color w:val="000000"/>
                      <w:szCs w:val="21"/>
                      <w:highlight w:val="none"/>
                    </w:rPr>
                    <w:t>2</w:t>
                  </w:r>
                </w:p>
              </w:tc>
              <w:tc>
                <w:tcPr>
                  <w:tcW w:w="572" w:type="pct"/>
                  <w:shd w:val="clear" w:color="auto" w:fill="auto"/>
                  <w:vAlign w:val="center"/>
                </w:tcPr>
                <w:p>
                  <w:pPr>
                    <w:shd w:val="clear"/>
                    <w:snapToGrid w:val="0"/>
                    <w:jc w:val="center"/>
                    <w:rPr>
                      <w:rFonts w:ascii="仿宋" w:hAnsi="仿宋" w:eastAsia="仿宋" w:cs="仿宋"/>
                      <w:szCs w:val="21"/>
                      <w:highlight w:val="none"/>
                    </w:rPr>
                  </w:pPr>
                  <w:r>
                    <w:rPr>
                      <w:rFonts w:hint="eastAsia" w:ascii="仿宋" w:hAnsi="仿宋" w:eastAsia="仿宋" w:cs="仿宋"/>
                      <w:szCs w:val="21"/>
                      <w:highlight w:val="none"/>
                    </w:rPr>
                    <w:t>远程技术支持服务</w:t>
                  </w:r>
                </w:p>
              </w:tc>
              <w:tc>
                <w:tcPr>
                  <w:tcW w:w="1040" w:type="pct"/>
                  <w:shd w:val="clear" w:color="auto" w:fill="auto"/>
                  <w:vAlign w:val="center"/>
                </w:tcPr>
                <w:p>
                  <w:pPr>
                    <w:shd w:val="clear"/>
                    <w:snapToGrid w:val="0"/>
                    <w:rPr>
                      <w:rFonts w:ascii="仿宋" w:hAnsi="仿宋" w:eastAsia="仿宋" w:cs="仿宋"/>
                      <w:szCs w:val="21"/>
                      <w:highlight w:val="none"/>
                    </w:rPr>
                  </w:pPr>
                  <w:r>
                    <w:rPr>
                      <w:rFonts w:hint="eastAsia" w:ascii="仿宋" w:hAnsi="仿宋" w:eastAsia="仿宋" w:cs="仿宋"/>
                      <w:szCs w:val="21"/>
                      <w:highlight w:val="none"/>
                    </w:rPr>
                    <w:t>远程协助现场人员，提供技术支持，根据修正申请内容，进行数据查询、修改</w:t>
                  </w:r>
                </w:p>
              </w:tc>
              <w:tc>
                <w:tcPr>
                  <w:tcW w:w="1241" w:type="pct"/>
                  <w:shd w:val="clear" w:color="auto" w:fill="auto"/>
                  <w:vAlign w:val="center"/>
                </w:tcPr>
                <w:p>
                  <w:pPr>
                    <w:shd w:val="clear"/>
                    <w:snapToGrid w:val="0"/>
                    <w:rPr>
                      <w:rFonts w:ascii="仿宋" w:hAnsi="仿宋" w:eastAsia="仿宋" w:cs="仿宋"/>
                      <w:szCs w:val="21"/>
                      <w:highlight w:val="none"/>
                    </w:rPr>
                  </w:pPr>
                  <w:r>
                    <w:rPr>
                      <w:rFonts w:hint="eastAsia" w:ascii="仿宋" w:hAnsi="仿宋" w:eastAsia="仿宋" w:cs="仿宋"/>
                      <w:szCs w:val="21"/>
                      <w:highlight w:val="none"/>
                    </w:rPr>
                    <w:t>产生用户投诉，经核实为远程技术支持服务不到位等质量问题导致12345投诉，一次扣1分；未达到交易中心要求或年度招投标指标平台满意度有基本满意及以下的扣5-10分。</w:t>
                  </w:r>
                </w:p>
              </w:tc>
              <w:tc>
                <w:tcPr>
                  <w:tcW w:w="406" w:type="pct"/>
                  <w:shd w:val="clear" w:color="auto" w:fill="auto"/>
                  <w:vAlign w:val="center"/>
                </w:tcPr>
                <w:p>
                  <w:pPr>
                    <w:shd w:val="clear"/>
                    <w:snapToGrid w:val="0"/>
                    <w:jc w:val="center"/>
                    <w:rPr>
                      <w:rFonts w:ascii="仿宋" w:hAnsi="仿宋" w:eastAsia="仿宋" w:cs="仿宋"/>
                      <w:szCs w:val="21"/>
                      <w:highlight w:val="none"/>
                    </w:rPr>
                  </w:pPr>
                  <w:r>
                    <w:rPr>
                      <w:rFonts w:hint="eastAsia" w:ascii="仿宋" w:hAnsi="仿宋" w:eastAsia="仿宋" w:cs="仿宋"/>
                      <w:szCs w:val="21"/>
                      <w:highlight w:val="none"/>
                    </w:rPr>
                    <w:t>10</w:t>
                  </w:r>
                </w:p>
              </w:tc>
              <w:tc>
                <w:tcPr>
                  <w:tcW w:w="572" w:type="pct"/>
                  <w:shd w:val="clear" w:color="auto" w:fill="auto"/>
                  <w:vAlign w:val="center"/>
                </w:tcPr>
                <w:p>
                  <w:pPr>
                    <w:shd w:val="clear"/>
                    <w:snapToGrid w:val="0"/>
                    <w:jc w:val="center"/>
                    <w:rPr>
                      <w:rFonts w:ascii="仿宋" w:hAnsi="仿宋" w:eastAsia="仿宋" w:cs="仿宋"/>
                      <w:szCs w:val="21"/>
                      <w:highlight w:val="none"/>
                    </w:rPr>
                  </w:pPr>
                </w:p>
              </w:tc>
              <w:tc>
                <w:tcPr>
                  <w:tcW w:w="562" w:type="pct"/>
                  <w:tcBorders>
                    <w:right w:val="double" w:color="000000" w:sz="6" w:space="0"/>
                  </w:tcBorders>
                  <w:shd w:val="clear" w:color="auto" w:fill="auto"/>
                  <w:vAlign w:val="center"/>
                </w:tcPr>
                <w:p>
                  <w:pPr>
                    <w:shd w:val="clear"/>
                    <w:jc w:val="center"/>
                    <w:rPr>
                      <w:rFonts w:ascii="仿宋" w:hAnsi="仿宋" w:eastAsia="仿宋"/>
                      <w:color w:val="000000"/>
                      <w:szCs w:val="21"/>
                      <w:highlight w:val="none"/>
                    </w:rPr>
                  </w:pPr>
                </w:p>
              </w:tc>
            </w:tr>
            <w:tr>
              <w:tblPrEx>
                <w:tblBorders>
                  <w:top w:val="none" w:color="auto" w:sz="4" w:space="0"/>
                  <w:left w:val="none" w:color="auto" w:sz="4" w:space="0"/>
                  <w:bottom w:val="none" w:color="auto" w:sz="4" w:space="0"/>
                  <w:right w:val="none" w:color="auto" w:sz="4" w:space="0"/>
                  <w:insideH w:val="single" w:color="auto" w:sz="4" w:space="0"/>
                  <w:insideV w:val="single" w:color="auto" w:sz="4" w:space="0"/>
                </w:tblBorders>
                <w:tblCellMar>
                  <w:top w:w="0" w:type="dxa"/>
                  <w:left w:w="108" w:type="dxa"/>
                  <w:bottom w:w="0" w:type="dxa"/>
                  <w:right w:w="108" w:type="dxa"/>
                </w:tblCellMar>
              </w:tblPrEx>
              <w:trPr>
                <w:trHeight w:val="1372" w:hRule="atLeast"/>
              </w:trPr>
              <w:tc>
                <w:tcPr>
                  <w:tcW w:w="607" w:type="pct"/>
                  <w:tcBorders>
                    <w:left w:val="double" w:color="000000" w:sz="6" w:space="0"/>
                  </w:tcBorders>
                  <w:shd w:val="clear" w:color="auto" w:fill="auto"/>
                  <w:vAlign w:val="center"/>
                </w:tcPr>
                <w:p>
                  <w:pPr>
                    <w:shd w:val="clear"/>
                    <w:jc w:val="center"/>
                    <w:rPr>
                      <w:rFonts w:ascii="仿宋" w:hAnsi="仿宋" w:eastAsia="仿宋"/>
                      <w:color w:val="000000"/>
                      <w:szCs w:val="21"/>
                      <w:highlight w:val="none"/>
                    </w:rPr>
                  </w:pPr>
                  <w:r>
                    <w:rPr>
                      <w:rFonts w:hint="eastAsia" w:ascii="仿宋" w:hAnsi="仿宋" w:eastAsia="仿宋"/>
                      <w:color w:val="000000"/>
                      <w:szCs w:val="21"/>
                      <w:highlight w:val="none"/>
                    </w:rPr>
                    <w:t>3</w:t>
                  </w:r>
                </w:p>
              </w:tc>
              <w:tc>
                <w:tcPr>
                  <w:tcW w:w="572" w:type="pct"/>
                  <w:shd w:val="clear" w:color="auto" w:fill="auto"/>
                  <w:vAlign w:val="center"/>
                </w:tcPr>
                <w:p>
                  <w:pPr>
                    <w:shd w:val="clear"/>
                    <w:snapToGrid w:val="0"/>
                    <w:jc w:val="center"/>
                    <w:rPr>
                      <w:rFonts w:ascii="仿宋" w:hAnsi="仿宋" w:eastAsia="仿宋" w:cs="仿宋"/>
                      <w:szCs w:val="21"/>
                      <w:highlight w:val="none"/>
                    </w:rPr>
                  </w:pPr>
                  <w:r>
                    <w:rPr>
                      <w:rFonts w:hint="eastAsia" w:ascii="仿宋" w:hAnsi="仿宋" w:eastAsia="仿宋" w:cs="仿宋"/>
                      <w:szCs w:val="21"/>
                      <w:highlight w:val="none"/>
                    </w:rPr>
                    <w:t>故障处理</w:t>
                  </w:r>
                </w:p>
              </w:tc>
              <w:tc>
                <w:tcPr>
                  <w:tcW w:w="1040" w:type="pct"/>
                  <w:shd w:val="clear" w:color="auto" w:fill="auto"/>
                  <w:vAlign w:val="center"/>
                </w:tcPr>
                <w:p>
                  <w:pPr>
                    <w:shd w:val="clear"/>
                    <w:snapToGrid w:val="0"/>
                    <w:rPr>
                      <w:rFonts w:ascii="仿宋" w:hAnsi="仿宋" w:eastAsia="仿宋" w:cs="仿宋"/>
                      <w:szCs w:val="21"/>
                      <w:highlight w:val="none"/>
                    </w:rPr>
                  </w:pPr>
                  <w:r>
                    <w:rPr>
                      <w:rFonts w:hint="eastAsia" w:ascii="仿宋" w:hAnsi="仿宋" w:eastAsia="仿宋" w:cs="仿宋"/>
                      <w:szCs w:val="21"/>
                      <w:highlight w:val="none"/>
                    </w:rPr>
                    <w:t>针对系统问题进行应急处理</w:t>
                  </w:r>
                </w:p>
              </w:tc>
              <w:tc>
                <w:tcPr>
                  <w:tcW w:w="1241" w:type="pct"/>
                  <w:shd w:val="clear" w:color="auto" w:fill="auto"/>
                  <w:vAlign w:val="center"/>
                </w:tcPr>
                <w:p>
                  <w:pPr>
                    <w:shd w:val="clear"/>
                    <w:snapToGrid w:val="0"/>
                    <w:rPr>
                      <w:rFonts w:ascii="仿宋" w:hAnsi="仿宋" w:eastAsia="仿宋" w:cs="仿宋"/>
                      <w:szCs w:val="21"/>
                      <w:highlight w:val="none"/>
                    </w:rPr>
                  </w:pPr>
                  <w:r>
                    <w:rPr>
                      <w:rFonts w:hint="eastAsia" w:ascii="仿宋" w:hAnsi="仿宋" w:eastAsia="仿宋" w:cs="仿宋"/>
                      <w:szCs w:val="21"/>
                      <w:highlight w:val="none"/>
                    </w:rPr>
                    <w:t>经核实为系统自身原因导致的问题，在1个工作日内解决的得10分；超过1个工作日未解决的，此后每1个工作日扣1分，超过3个工作日未解决的，此项不得分。</w:t>
                  </w:r>
                </w:p>
              </w:tc>
              <w:tc>
                <w:tcPr>
                  <w:tcW w:w="406" w:type="pct"/>
                  <w:shd w:val="clear" w:color="auto" w:fill="auto"/>
                  <w:vAlign w:val="center"/>
                </w:tcPr>
                <w:p>
                  <w:pPr>
                    <w:shd w:val="clear"/>
                    <w:snapToGrid w:val="0"/>
                    <w:jc w:val="center"/>
                    <w:rPr>
                      <w:rFonts w:ascii="仿宋" w:hAnsi="仿宋" w:eastAsia="仿宋" w:cs="仿宋"/>
                      <w:szCs w:val="21"/>
                      <w:highlight w:val="none"/>
                    </w:rPr>
                  </w:pPr>
                  <w:r>
                    <w:rPr>
                      <w:rFonts w:hint="eastAsia" w:ascii="仿宋" w:hAnsi="仿宋" w:eastAsia="仿宋" w:cs="仿宋"/>
                      <w:szCs w:val="21"/>
                      <w:highlight w:val="none"/>
                    </w:rPr>
                    <w:t>10</w:t>
                  </w:r>
                </w:p>
              </w:tc>
              <w:tc>
                <w:tcPr>
                  <w:tcW w:w="572" w:type="pct"/>
                  <w:shd w:val="clear" w:color="auto" w:fill="auto"/>
                  <w:vAlign w:val="center"/>
                </w:tcPr>
                <w:p>
                  <w:pPr>
                    <w:shd w:val="clear"/>
                    <w:snapToGrid w:val="0"/>
                    <w:jc w:val="center"/>
                    <w:rPr>
                      <w:rFonts w:ascii="仿宋" w:hAnsi="仿宋" w:eastAsia="仿宋" w:cs="仿宋"/>
                      <w:szCs w:val="21"/>
                      <w:highlight w:val="none"/>
                    </w:rPr>
                  </w:pPr>
                </w:p>
              </w:tc>
              <w:tc>
                <w:tcPr>
                  <w:tcW w:w="562" w:type="pct"/>
                  <w:tcBorders>
                    <w:right w:val="double" w:color="000000" w:sz="6" w:space="0"/>
                  </w:tcBorders>
                  <w:shd w:val="clear" w:color="auto" w:fill="auto"/>
                  <w:vAlign w:val="center"/>
                </w:tcPr>
                <w:p>
                  <w:pPr>
                    <w:shd w:val="clear"/>
                    <w:jc w:val="center"/>
                    <w:rPr>
                      <w:rFonts w:ascii="仿宋" w:hAnsi="仿宋" w:eastAsia="仿宋"/>
                      <w:color w:val="000000"/>
                      <w:szCs w:val="21"/>
                      <w:highlight w:val="none"/>
                    </w:rPr>
                  </w:pPr>
                </w:p>
              </w:tc>
            </w:tr>
            <w:tr>
              <w:tblPrEx>
                <w:tblBorders>
                  <w:top w:val="none" w:color="auto" w:sz="4" w:space="0"/>
                  <w:left w:val="none" w:color="auto" w:sz="4" w:space="0"/>
                  <w:bottom w:val="none" w:color="auto" w:sz="4" w:space="0"/>
                  <w:right w:val="none" w:color="auto" w:sz="4" w:space="0"/>
                  <w:insideH w:val="single" w:color="auto" w:sz="4" w:space="0"/>
                  <w:insideV w:val="single" w:color="auto" w:sz="4" w:space="0"/>
                </w:tblBorders>
                <w:tblCellMar>
                  <w:top w:w="0" w:type="dxa"/>
                  <w:left w:w="108" w:type="dxa"/>
                  <w:bottom w:w="0" w:type="dxa"/>
                  <w:right w:w="108" w:type="dxa"/>
                </w:tblCellMar>
              </w:tblPrEx>
              <w:trPr>
                <w:trHeight w:val="1646" w:hRule="atLeast"/>
              </w:trPr>
              <w:tc>
                <w:tcPr>
                  <w:tcW w:w="607" w:type="pct"/>
                  <w:tcBorders>
                    <w:left w:val="double" w:color="000000" w:sz="6" w:space="0"/>
                  </w:tcBorders>
                  <w:shd w:val="clear" w:color="auto" w:fill="auto"/>
                  <w:vAlign w:val="center"/>
                </w:tcPr>
                <w:p>
                  <w:pPr>
                    <w:shd w:val="clear"/>
                    <w:jc w:val="center"/>
                    <w:rPr>
                      <w:rFonts w:ascii="仿宋" w:hAnsi="仿宋" w:eastAsia="仿宋"/>
                      <w:color w:val="000000"/>
                      <w:szCs w:val="21"/>
                      <w:highlight w:val="none"/>
                    </w:rPr>
                  </w:pPr>
                  <w:r>
                    <w:rPr>
                      <w:rFonts w:hint="eastAsia" w:ascii="仿宋" w:hAnsi="仿宋" w:eastAsia="仿宋"/>
                      <w:color w:val="000000"/>
                      <w:szCs w:val="21"/>
                      <w:highlight w:val="none"/>
                    </w:rPr>
                    <w:t>4</w:t>
                  </w:r>
                </w:p>
              </w:tc>
              <w:tc>
                <w:tcPr>
                  <w:tcW w:w="572" w:type="pct"/>
                  <w:shd w:val="clear" w:color="auto" w:fill="auto"/>
                  <w:vAlign w:val="center"/>
                </w:tcPr>
                <w:p>
                  <w:pPr>
                    <w:shd w:val="clear"/>
                    <w:snapToGrid w:val="0"/>
                    <w:jc w:val="center"/>
                    <w:rPr>
                      <w:rFonts w:ascii="仿宋" w:hAnsi="仿宋" w:eastAsia="仿宋" w:cs="仿宋"/>
                      <w:szCs w:val="21"/>
                      <w:highlight w:val="none"/>
                    </w:rPr>
                  </w:pPr>
                  <w:r>
                    <w:rPr>
                      <w:rFonts w:hint="eastAsia" w:ascii="仿宋" w:hAnsi="仿宋" w:eastAsia="仿宋" w:cs="仿宋"/>
                      <w:szCs w:val="21"/>
                      <w:highlight w:val="none"/>
                    </w:rPr>
                    <w:t>系统</w:t>
                  </w:r>
                </w:p>
                <w:p>
                  <w:pPr>
                    <w:shd w:val="clear"/>
                    <w:snapToGrid w:val="0"/>
                    <w:jc w:val="center"/>
                    <w:rPr>
                      <w:rFonts w:ascii="仿宋" w:hAnsi="仿宋" w:eastAsia="仿宋" w:cs="仿宋"/>
                      <w:szCs w:val="21"/>
                      <w:highlight w:val="none"/>
                    </w:rPr>
                  </w:pPr>
                  <w:r>
                    <w:rPr>
                      <w:rFonts w:hint="eastAsia" w:ascii="仿宋" w:hAnsi="仿宋" w:eastAsia="仿宋" w:cs="仿宋"/>
                      <w:szCs w:val="21"/>
                      <w:highlight w:val="none"/>
                    </w:rPr>
                    <w:t>可靠性</w:t>
                  </w:r>
                </w:p>
              </w:tc>
              <w:tc>
                <w:tcPr>
                  <w:tcW w:w="1040" w:type="pct"/>
                  <w:shd w:val="clear" w:color="auto" w:fill="auto"/>
                  <w:vAlign w:val="center"/>
                </w:tcPr>
                <w:p>
                  <w:pPr>
                    <w:shd w:val="clear"/>
                    <w:snapToGrid w:val="0"/>
                    <w:rPr>
                      <w:rFonts w:ascii="仿宋" w:hAnsi="仿宋" w:eastAsia="仿宋" w:cs="仿宋"/>
                      <w:szCs w:val="21"/>
                      <w:highlight w:val="none"/>
                    </w:rPr>
                  </w:pPr>
                  <w:r>
                    <w:rPr>
                      <w:rFonts w:hint="eastAsia" w:ascii="仿宋" w:hAnsi="仿宋" w:eastAsia="仿宋" w:cs="仿宋"/>
                      <w:szCs w:val="21"/>
                      <w:highlight w:val="none"/>
                    </w:rPr>
                    <w:t>每周期因系统故障导致的累计停机时间</w:t>
                  </w:r>
                </w:p>
              </w:tc>
              <w:tc>
                <w:tcPr>
                  <w:tcW w:w="1241" w:type="pct"/>
                  <w:shd w:val="clear" w:color="auto" w:fill="auto"/>
                  <w:vAlign w:val="center"/>
                </w:tcPr>
                <w:p>
                  <w:pPr>
                    <w:shd w:val="clear"/>
                    <w:snapToGrid w:val="0"/>
                    <w:rPr>
                      <w:rFonts w:ascii="仿宋" w:hAnsi="仿宋" w:eastAsia="仿宋" w:cs="仿宋"/>
                      <w:szCs w:val="21"/>
                      <w:highlight w:val="none"/>
                    </w:rPr>
                  </w:pPr>
                  <w:r>
                    <w:rPr>
                      <w:rFonts w:hint="eastAsia" w:ascii="仿宋" w:hAnsi="仿宋" w:eastAsia="仿宋" w:cs="仿宋"/>
                      <w:szCs w:val="21"/>
                      <w:highlight w:val="none"/>
                    </w:rPr>
                    <w:t>当周期经核实为系统自身故障导致的停机时间累计低于24小时的，得10分；停机时间累计超过24小时，但低于48小时的，得5分；停机时间累计超过48小时的，不得分。</w:t>
                  </w:r>
                </w:p>
              </w:tc>
              <w:tc>
                <w:tcPr>
                  <w:tcW w:w="406" w:type="pct"/>
                  <w:shd w:val="clear" w:color="auto" w:fill="auto"/>
                  <w:vAlign w:val="center"/>
                </w:tcPr>
                <w:p>
                  <w:pPr>
                    <w:shd w:val="clear"/>
                    <w:snapToGrid w:val="0"/>
                    <w:jc w:val="center"/>
                    <w:rPr>
                      <w:rFonts w:ascii="仿宋" w:hAnsi="仿宋" w:eastAsia="仿宋" w:cs="仿宋"/>
                      <w:szCs w:val="21"/>
                      <w:highlight w:val="none"/>
                    </w:rPr>
                  </w:pPr>
                  <w:r>
                    <w:rPr>
                      <w:rFonts w:hint="eastAsia" w:ascii="仿宋" w:hAnsi="仿宋" w:eastAsia="仿宋" w:cs="仿宋"/>
                      <w:szCs w:val="21"/>
                      <w:highlight w:val="none"/>
                    </w:rPr>
                    <w:t>10</w:t>
                  </w:r>
                </w:p>
              </w:tc>
              <w:tc>
                <w:tcPr>
                  <w:tcW w:w="572" w:type="pct"/>
                  <w:shd w:val="clear" w:color="auto" w:fill="auto"/>
                  <w:vAlign w:val="center"/>
                </w:tcPr>
                <w:p>
                  <w:pPr>
                    <w:shd w:val="clear"/>
                    <w:snapToGrid w:val="0"/>
                    <w:jc w:val="center"/>
                    <w:rPr>
                      <w:rFonts w:ascii="仿宋" w:hAnsi="仿宋" w:eastAsia="仿宋" w:cs="仿宋"/>
                      <w:szCs w:val="21"/>
                      <w:highlight w:val="none"/>
                    </w:rPr>
                  </w:pPr>
                </w:p>
              </w:tc>
              <w:tc>
                <w:tcPr>
                  <w:tcW w:w="562" w:type="pct"/>
                  <w:tcBorders>
                    <w:right w:val="double" w:color="000000" w:sz="6" w:space="0"/>
                  </w:tcBorders>
                  <w:shd w:val="clear" w:color="auto" w:fill="auto"/>
                  <w:vAlign w:val="center"/>
                </w:tcPr>
                <w:p>
                  <w:pPr>
                    <w:shd w:val="clear"/>
                    <w:jc w:val="center"/>
                    <w:rPr>
                      <w:rFonts w:ascii="仿宋" w:hAnsi="仿宋" w:eastAsia="仿宋"/>
                      <w:color w:val="000000"/>
                      <w:szCs w:val="21"/>
                      <w:highlight w:val="none"/>
                    </w:rPr>
                  </w:pPr>
                </w:p>
              </w:tc>
            </w:tr>
            <w:tr>
              <w:tblPrEx>
                <w:tblBorders>
                  <w:top w:val="none" w:color="auto" w:sz="4" w:space="0"/>
                  <w:left w:val="none" w:color="auto" w:sz="4" w:space="0"/>
                  <w:bottom w:val="none" w:color="auto" w:sz="4" w:space="0"/>
                  <w:right w:val="non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trPr>
              <w:tc>
                <w:tcPr>
                  <w:tcW w:w="607" w:type="pct"/>
                  <w:tcBorders>
                    <w:left w:val="double" w:color="000000" w:sz="6" w:space="0"/>
                  </w:tcBorders>
                  <w:shd w:val="clear" w:color="auto" w:fill="auto"/>
                  <w:vAlign w:val="center"/>
                </w:tcPr>
                <w:p>
                  <w:pPr>
                    <w:shd w:val="clear"/>
                    <w:jc w:val="center"/>
                    <w:rPr>
                      <w:rFonts w:ascii="仿宋" w:hAnsi="仿宋" w:eastAsia="仿宋"/>
                      <w:color w:val="000000"/>
                      <w:szCs w:val="21"/>
                      <w:highlight w:val="none"/>
                    </w:rPr>
                  </w:pPr>
                  <w:r>
                    <w:rPr>
                      <w:rFonts w:hint="eastAsia" w:ascii="仿宋" w:hAnsi="仿宋" w:eastAsia="仿宋"/>
                      <w:color w:val="000000"/>
                      <w:szCs w:val="21"/>
                      <w:highlight w:val="none"/>
                    </w:rPr>
                    <w:t>5</w:t>
                  </w:r>
                </w:p>
              </w:tc>
              <w:tc>
                <w:tcPr>
                  <w:tcW w:w="572" w:type="pct"/>
                  <w:shd w:val="clear" w:color="auto" w:fill="auto"/>
                  <w:vAlign w:val="center"/>
                </w:tcPr>
                <w:p>
                  <w:pPr>
                    <w:shd w:val="clear"/>
                    <w:snapToGrid w:val="0"/>
                    <w:jc w:val="center"/>
                    <w:rPr>
                      <w:rFonts w:ascii="仿宋" w:hAnsi="仿宋" w:eastAsia="仿宋" w:cs="仿宋"/>
                      <w:szCs w:val="21"/>
                      <w:highlight w:val="none"/>
                    </w:rPr>
                  </w:pPr>
                  <w:r>
                    <w:rPr>
                      <w:rFonts w:hint="eastAsia" w:ascii="仿宋" w:hAnsi="仿宋" w:eastAsia="仿宋" w:cs="仿宋"/>
                      <w:szCs w:val="21"/>
                      <w:highlight w:val="none"/>
                    </w:rPr>
                    <w:t>平台功能开发</w:t>
                  </w:r>
                </w:p>
              </w:tc>
              <w:tc>
                <w:tcPr>
                  <w:tcW w:w="1040" w:type="pct"/>
                  <w:shd w:val="clear" w:color="auto" w:fill="auto"/>
                  <w:vAlign w:val="center"/>
                </w:tcPr>
                <w:p>
                  <w:pPr>
                    <w:shd w:val="clear"/>
                    <w:snapToGrid w:val="0"/>
                    <w:rPr>
                      <w:rFonts w:ascii="仿宋" w:hAnsi="仿宋" w:eastAsia="仿宋" w:cs="仿宋"/>
                      <w:szCs w:val="21"/>
                      <w:highlight w:val="none"/>
                    </w:rPr>
                  </w:pPr>
                  <w:r>
                    <w:rPr>
                      <w:rFonts w:hint="eastAsia" w:ascii="仿宋" w:hAnsi="仿宋" w:eastAsia="仿宋" w:cs="仿宋"/>
                      <w:szCs w:val="21"/>
                      <w:highlight w:val="none"/>
                    </w:rPr>
                    <w:t>根据已发布的政策文件或交易中心要求，完成系统功能开发</w:t>
                  </w:r>
                </w:p>
              </w:tc>
              <w:tc>
                <w:tcPr>
                  <w:tcW w:w="1241" w:type="pct"/>
                  <w:shd w:val="clear" w:color="auto" w:fill="auto"/>
                  <w:vAlign w:val="center"/>
                </w:tcPr>
                <w:p>
                  <w:pPr>
                    <w:shd w:val="clear"/>
                    <w:snapToGrid w:val="0"/>
                    <w:rPr>
                      <w:rFonts w:ascii="仿宋" w:hAnsi="仿宋" w:eastAsia="仿宋" w:cs="仿宋"/>
                      <w:szCs w:val="21"/>
                      <w:highlight w:val="none"/>
                    </w:rPr>
                  </w:pPr>
                  <w:r>
                    <w:rPr>
                      <w:rFonts w:hint="eastAsia" w:ascii="仿宋" w:hAnsi="仿宋" w:eastAsia="仿宋" w:cs="仿宋"/>
                      <w:szCs w:val="21"/>
                      <w:highlight w:val="none"/>
                    </w:rPr>
                    <w:t>未完成已签订的用户需求任务单，一次扣1分。</w:t>
                  </w:r>
                </w:p>
              </w:tc>
              <w:tc>
                <w:tcPr>
                  <w:tcW w:w="406" w:type="pct"/>
                  <w:shd w:val="clear" w:color="auto" w:fill="auto"/>
                  <w:vAlign w:val="center"/>
                </w:tcPr>
                <w:p>
                  <w:pPr>
                    <w:shd w:val="clear"/>
                    <w:snapToGrid w:val="0"/>
                    <w:jc w:val="center"/>
                    <w:rPr>
                      <w:rFonts w:ascii="仿宋" w:hAnsi="仿宋" w:eastAsia="仿宋" w:cs="仿宋"/>
                      <w:szCs w:val="21"/>
                      <w:highlight w:val="none"/>
                    </w:rPr>
                  </w:pPr>
                  <w:r>
                    <w:rPr>
                      <w:rFonts w:hint="eastAsia" w:ascii="仿宋" w:hAnsi="仿宋" w:eastAsia="仿宋" w:cs="仿宋"/>
                      <w:szCs w:val="21"/>
                      <w:highlight w:val="none"/>
                    </w:rPr>
                    <w:t>10</w:t>
                  </w:r>
                </w:p>
              </w:tc>
              <w:tc>
                <w:tcPr>
                  <w:tcW w:w="572" w:type="pct"/>
                  <w:shd w:val="clear" w:color="auto" w:fill="auto"/>
                  <w:vAlign w:val="center"/>
                </w:tcPr>
                <w:p>
                  <w:pPr>
                    <w:shd w:val="clear"/>
                    <w:snapToGrid w:val="0"/>
                    <w:jc w:val="center"/>
                    <w:rPr>
                      <w:rFonts w:ascii="仿宋" w:hAnsi="仿宋" w:eastAsia="仿宋" w:cs="仿宋"/>
                      <w:szCs w:val="21"/>
                      <w:highlight w:val="none"/>
                    </w:rPr>
                  </w:pPr>
                </w:p>
              </w:tc>
              <w:tc>
                <w:tcPr>
                  <w:tcW w:w="562" w:type="pct"/>
                  <w:tcBorders>
                    <w:right w:val="double" w:color="000000" w:sz="6" w:space="0"/>
                  </w:tcBorders>
                  <w:shd w:val="clear" w:color="auto" w:fill="auto"/>
                  <w:vAlign w:val="center"/>
                </w:tcPr>
                <w:p>
                  <w:pPr>
                    <w:shd w:val="clear"/>
                    <w:jc w:val="center"/>
                    <w:rPr>
                      <w:rFonts w:ascii="仿宋" w:hAnsi="仿宋" w:eastAsia="仿宋"/>
                      <w:color w:val="000000"/>
                      <w:szCs w:val="21"/>
                      <w:highlight w:val="none"/>
                    </w:rPr>
                  </w:pPr>
                </w:p>
              </w:tc>
            </w:tr>
            <w:tr>
              <w:tblPrEx>
                <w:tblBorders>
                  <w:top w:val="none" w:color="auto" w:sz="4" w:space="0"/>
                  <w:left w:val="none" w:color="auto" w:sz="4" w:space="0"/>
                  <w:bottom w:val="none" w:color="auto" w:sz="4" w:space="0"/>
                  <w:right w:val="non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trPr>
              <w:tc>
                <w:tcPr>
                  <w:tcW w:w="607" w:type="pct"/>
                  <w:tcBorders>
                    <w:left w:val="double" w:color="000000" w:sz="6" w:space="0"/>
                  </w:tcBorders>
                  <w:shd w:val="clear" w:color="auto" w:fill="auto"/>
                  <w:vAlign w:val="center"/>
                </w:tcPr>
                <w:p>
                  <w:pPr>
                    <w:shd w:val="clear"/>
                    <w:jc w:val="center"/>
                    <w:rPr>
                      <w:rFonts w:ascii="仿宋" w:hAnsi="仿宋" w:eastAsia="仿宋"/>
                      <w:color w:val="000000"/>
                      <w:szCs w:val="21"/>
                      <w:highlight w:val="none"/>
                    </w:rPr>
                  </w:pPr>
                  <w:r>
                    <w:rPr>
                      <w:rFonts w:hint="eastAsia" w:ascii="仿宋" w:hAnsi="仿宋" w:eastAsia="仿宋"/>
                      <w:color w:val="000000"/>
                      <w:szCs w:val="21"/>
                      <w:highlight w:val="none"/>
                    </w:rPr>
                    <w:t>6</w:t>
                  </w:r>
                </w:p>
              </w:tc>
              <w:tc>
                <w:tcPr>
                  <w:tcW w:w="572" w:type="pct"/>
                  <w:shd w:val="clear" w:color="auto" w:fill="auto"/>
                  <w:vAlign w:val="center"/>
                </w:tcPr>
                <w:p>
                  <w:pPr>
                    <w:shd w:val="clear"/>
                    <w:snapToGrid w:val="0"/>
                    <w:jc w:val="center"/>
                    <w:rPr>
                      <w:rFonts w:ascii="仿宋" w:hAnsi="仿宋" w:eastAsia="仿宋" w:cs="仿宋"/>
                      <w:szCs w:val="21"/>
                      <w:highlight w:val="none"/>
                    </w:rPr>
                  </w:pPr>
                  <w:r>
                    <w:rPr>
                      <w:rFonts w:hint="eastAsia" w:ascii="仿宋" w:hAnsi="仿宋" w:eastAsia="仿宋" w:cs="仿宋"/>
                      <w:szCs w:val="21"/>
                      <w:highlight w:val="none"/>
                    </w:rPr>
                    <w:t>系统安全</w:t>
                  </w:r>
                </w:p>
              </w:tc>
              <w:tc>
                <w:tcPr>
                  <w:tcW w:w="1040" w:type="pct"/>
                  <w:shd w:val="clear" w:color="auto" w:fill="auto"/>
                  <w:vAlign w:val="center"/>
                </w:tcPr>
                <w:p>
                  <w:pPr>
                    <w:shd w:val="clear"/>
                    <w:snapToGrid w:val="0"/>
                    <w:rPr>
                      <w:rFonts w:ascii="仿宋" w:hAnsi="仿宋" w:eastAsia="仿宋" w:cs="仿宋"/>
                      <w:szCs w:val="21"/>
                      <w:highlight w:val="none"/>
                    </w:rPr>
                  </w:pPr>
                  <w:r>
                    <w:rPr>
                      <w:rFonts w:hint="eastAsia" w:ascii="仿宋" w:hAnsi="仿宋" w:eastAsia="仿宋" w:cs="仿宋"/>
                      <w:szCs w:val="21"/>
                      <w:highlight w:val="none"/>
                    </w:rPr>
                    <w:t>对系统漏洞扫描和渗透测试中发现的相关问题进行分析及整改</w:t>
                  </w:r>
                </w:p>
              </w:tc>
              <w:tc>
                <w:tcPr>
                  <w:tcW w:w="1241" w:type="pct"/>
                  <w:shd w:val="clear" w:color="auto" w:fill="auto"/>
                  <w:vAlign w:val="center"/>
                </w:tcPr>
                <w:p>
                  <w:pPr>
                    <w:shd w:val="clear"/>
                    <w:snapToGrid w:val="0"/>
                    <w:rPr>
                      <w:rFonts w:ascii="仿宋" w:hAnsi="仿宋" w:eastAsia="仿宋" w:cs="仿宋"/>
                      <w:szCs w:val="21"/>
                      <w:highlight w:val="none"/>
                    </w:rPr>
                  </w:pPr>
                  <w:r>
                    <w:rPr>
                      <w:rFonts w:hint="eastAsia" w:ascii="仿宋" w:hAnsi="仿宋" w:eastAsia="仿宋" w:cs="仿宋"/>
                      <w:szCs w:val="21"/>
                      <w:highlight w:val="none"/>
                    </w:rPr>
                    <w:t>未及时对评估报告中的问题进行整改，一次扣1分；发生重大及以上系统安全事故一次扣10分。</w:t>
                  </w:r>
                </w:p>
              </w:tc>
              <w:tc>
                <w:tcPr>
                  <w:tcW w:w="406" w:type="pct"/>
                  <w:shd w:val="clear" w:color="auto" w:fill="auto"/>
                  <w:vAlign w:val="center"/>
                </w:tcPr>
                <w:p>
                  <w:pPr>
                    <w:shd w:val="clear"/>
                    <w:snapToGrid w:val="0"/>
                    <w:jc w:val="center"/>
                    <w:rPr>
                      <w:rFonts w:ascii="仿宋" w:hAnsi="仿宋" w:eastAsia="仿宋" w:cs="仿宋"/>
                      <w:szCs w:val="21"/>
                      <w:highlight w:val="none"/>
                    </w:rPr>
                  </w:pPr>
                  <w:r>
                    <w:rPr>
                      <w:rFonts w:hint="eastAsia" w:ascii="仿宋" w:hAnsi="仿宋" w:eastAsia="仿宋" w:cs="仿宋"/>
                      <w:szCs w:val="21"/>
                      <w:highlight w:val="none"/>
                    </w:rPr>
                    <w:t>10</w:t>
                  </w:r>
                </w:p>
              </w:tc>
              <w:tc>
                <w:tcPr>
                  <w:tcW w:w="572" w:type="pct"/>
                  <w:shd w:val="clear" w:color="auto" w:fill="auto"/>
                  <w:vAlign w:val="center"/>
                </w:tcPr>
                <w:p>
                  <w:pPr>
                    <w:shd w:val="clear"/>
                    <w:snapToGrid w:val="0"/>
                    <w:jc w:val="center"/>
                    <w:rPr>
                      <w:rFonts w:ascii="仿宋" w:hAnsi="仿宋" w:eastAsia="仿宋" w:cs="仿宋"/>
                      <w:szCs w:val="21"/>
                      <w:highlight w:val="none"/>
                    </w:rPr>
                  </w:pPr>
                </w:p>
              </w:tc>
              <w:tc>
                <w:tcPr>
                  <w:tcW w:w="562" w:type="pct"/>
                  <w:tcBorders>
                    <w:right w:val="double" w:color="000000" w:sz="6" w:space="0"/>
                  </w:tcBorders>
                  <w:shd w:val="clear" w:color="auto" w:fill="auto"/>
                  <w:vAlign w:val="center"/>
                </w:tcPr>
                <w:p>
                  <w:pPr>
                    <w:shd w:val="clear"/>
                    <w:jc w:val="center"/>
                    <w:rPr>
                      <w:rFonts w:ascii="仿宋" w:hAnsi="仿宋" w:eastAsia="仿宋"/>
                      <w:color w:val="000000"/>
                      <w:szCs w:val="21"/>
                      <w:highlight w:val="none"/>
                    </w:rPr>
                  </w:pPr>
                </w:p>
              </w:tc>
            </w:tr>
            <w:tr>
              <w:tblPrEx>
                <w:tblBorders>
                  <w:top w:val="none" w:color="auto" w:sz="4" w:space="0"/>
                  <w:left w:val="none" w:color="auto" w:sz="4" w:space="0"/>
                  <w:bottom w:val="none" w:color="auto" w:sz="4" w:space="0"/>
                  <w:right w:val="non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trPr>
              <w:tc>
                <w:tcPr>
                  <w:tcW w:w="607" w:type="pct"/>
                  <w:tcBorders>
                    <w:left w:val="double" w:color="000000" w:sz="6" w:space="0"/>
                  </w:tcBorders>
                  <w:shd w:val="clear" w:color="auto" w:fill="auto"/>
                  <w:vAlign w:val="center"/>
                </w:tcPr>
                <w:p>
                  <w:pPr>
                    <w:shd w:val="clear"/>
                    <w:jc w:val="center"/>
                    <w:rPr>
                      <w:rFonts w:ascii="仿宋" w:hAnsi="仿宋" w:eastAsia="仿宋"/>
                      <w:color w:val="000000"/>
                      <w:szCs w:val="21"/>
                      <w:highlight w:val="none"/>
                    </w:rPr>
                  </w:pPr>
                  <w:r>
                    <w:rPr>
                      <w:rFonts w:hint="eastAsia" w:ascii="仿宋" w:hAnsi="仿宋" w:eastAsia="仿宋"/>
                      <w:color w:val="000000"/>
                      <w:szCs w:val="21"/>
                      <w:highlight w:val="none"/>
                    </w:rPr>
                    <w:t>7</w:t>
                  </w:r>
                </w:p>
              </w:tc>
              <w:tc>
                <w:tcPr>
                  <w:tcW w:w="572" w:type="pct"/>
                  <w:shd w:val="clear" w:color="auto" w:fill="auto"/>
                  <w:vAlign w:val="center"/>
                </w:tcPr>
                <w:p>
                  <w:pPr>
                    <w:shd w:val="clear"/>
                    <w:snapToGrid w:val="0"/>
                    <w:jc w:val="center"/>
                    <w:rPr>
                      <w:rFonts w:ascii="仿宋" w:hAnsi="仿宋" w:eastAsia="仿宋" w:cs="仿宋"/>
                      <w:szCs w:val="21"/>
                      <w:highlight w:val="none"/>
                    </w:rPr>
                  </w:pPr>
                  <w:r>
                    <w:rPr>
                      <w:rFonts w:hint="eastAsia" w:ascii="仿宋" w:hAnsi="仿宋" w:eastAsia="仿宋" w:cs="仿宋"/>
                      <w:szCs w:val="21"/>
                      <w:highlight w:val="none"/>
                    </w:rPr>
                    <w:t>接口升级</w:t>
                  </w:r>
                </w:p>
              </w:tc>
              <w:tc>
                <w:tcPr>
                  <w:tcW w:w="1040" w:type="pct"/>
                  <w:shd w:val="clear" w:color="auto" w:fill="auto"/>
                  <w:vAlign w:val="center"/>
                </w:tcPr>
                <w:p>
                  <w:pPr>
                    <w:shd w:val="clear"/>
                    <w:snapToGrid w:val="0"/>
                    <w:rPr>
                      <w:rFonts w:ascii="仿宋" w:hAnsi="仿宋" w:eastAsia="仿宋" w:cs="仿宋"/>
                      <w:szCs w:val="21"/>
                      <w:highlight w:val="none"/>
                    </w:rPr>
                  </w:pPr>
                  <w:r>
                    <w:rPr>
                      <w:rFonts w:hint="eastAsia" w:ascii="仿宋" w:hAnsi="仿宋" w:eastAsia="仿宋" w:cs="仿宋"/>
                      <w:szCs w:val="21"/>
                      <w:highlight w:val="none"/>
                    </w:rPr>
                    <w:t>完成省交易中心、公共服务平台、行政监督平台等各行业主管部门要求的接口升级以及对接</w:t>
                  </w:r>
                </w:p>
              </w:tc>
              <w:tc>
                <w:tcPr>
                  <w:tcW w:w="1241" w:type="pct"/>
                  <w:shd w:val="clear" w:color="auto" w:fill="auto"/>
                  <w:vAlign w:val="center"/>
                </w:tcPr>
                <w:p>
                  <w:pPr>
                    <w:shd w:val="clear"/>
                    <w:snapToGrid w:val="0"/>
                    <w:rPr>
                      <w:rFonts w:ascii="仿宋" w:hAnsi="仿宋" w:eastAsia="仿宋" w:cs="仿宋"/>
                      <w:szCs w:val="21"/>
                      <w:highlight w:val="none"/>
                    </w:rPr>
                  </w:pPr>
                  <w:r>
                    <w:rPr>
                      <w:rFonts w:hint="eastAsia" w:ascii="仿宋" w:hAnsi="仿宋" w:eastAsia="仿宋" w:cs="仿宋"/>
                      <w:szCs w:val="21"/>
                      <w:highlight w:val="none"/>
                    </w:rPr>
                    <w:t>未完成已签订的接口升级改造需求单，一次扣1分。</w:t>
                  </w:r>
                </w:p>
              </w:tc>
              <w:tc>
                <w:tcPr>
                  <w:tcW w:w="406" w:type="pct"/>
                  <w:shd w:val="clear" w:color="auto" w:fill="auto"/>
                  <w:vAlign w:val="center"/>
                </w:tcPr>
                <w:p>
                  <w:pPr>
                    <w:shd w:val="clear"/>
                    <w:snapToGrid w:val="0"/>
                    <w:jc w:val="center"/>
                    <w:rPr>
                      <w:rFonts w:ascii="仿宋" w:hAnsi="仿宋" w:eastAsia="仿宋" w:cs="仿宋"/>
                      <w:szCs w:val="21"/>
                      <w:highlight w:val="none"/>
                    </w:rPr>
                  </w:pPr>
                  <w:r>
                    <w:rPr>
                      <w:rFonts w:hint="eastAsia" w:ascii="仿宋" w:hAnsi="仿宋" w:eastAsia="仿宋" w:cs="仿宋"/>
                      <w:szCs w:val="21"/>
                      <w:highlight w:val="none"/>
                    </w:rPr>
                    <w:t>10</w:t>
                  </w:r>
                </w:p>
              </w:tc>
              <w:tc>
                <w:tcPr>
                  <w:tcW w:w="572" w:type="pct"/>
                  <w:shd w:val="clear" w:color="auto" w:fill="auto"/>
                  <w:vAlign w:val="center"/>
                </w:tcPr>
                <w:p>
                  <w:pPr>
                    <w:shd w:val="clear"/>
                    <w:snapToGrid w:val="0"/>
                    <w:jc w:val="center"/>
                    <w:rPr>
                      <w:rFonts w:ascii="仿宋" w:hAnsi="仿宋" w:eastAsia="仿宋" w:cs="仿宋"/>
                      <w:szCs w:val="21"/>
                      <w:highlight w:val="none"/>
                    </w:rPr>
                  </w:pPr>
                </w:p>
              </w:tc>
              <w:tc>
                <w:tcPr>
                  <w:tcW w:w="562" w:type="pct"/>
                  <w:tcBorders>
                    <w:right w:val="double" w:color="000000" w:sz="6" w:space="0"/>
                  </w:tcBorders>
                  <w:shd w:val="clear" w:color="auto" w:fill="auto"/>
                  <w:vAlign w:val="center"/>
                </w:tcPr>
                <w:p>
                  <w:pPr>
                    <w:shd w:val="clear"/>
                    <w:jc w:val="center"/>
                    <w:rPr>
                      <w:rFonts w:ascii="仿宋" w:hAnsi="仿宋" w:eastAsia="仿宋"/>
                      <w:color w:val="000000"/>
                      <w:szCs w:val="21"/>
                      <w:highlight w:val="none"/>
                    </w:rPr>
                  </w:pPr>
                </w:p>
              </w:tc>
            </w:tr>
            <w:tr>
              <w:tblPrEx>
                <w:tblBorders>
                  <w:top w:val="none" w:color="auto" w:sz="4" w:space="0"/>
                  <w:left w:val="none" w:color="auto" w:sz="4" w:space="0"/>
                  <w:bottom w:val="none" w:color="auto" w:sz="4" w:space="0"/>
                  <w:right w:val="none" w:color="auto" w:sz="4" w:space="0"/>
                  <w:insideH w:val="single" w:color="auto" w:sz="4" w:space="0"/>
                  <w:insideV w:val="single" w:color="auto" w:sz="4" w:space="0"/>
                </w:tblBorders>
                <w:tblCellMar>
                  <w:top w:w="0" w:type="dxa"/>
                  <w:left w:w="108" w:type="dxa"/>
                  <w:bottom w:w="0" w:type="dxa"/>
                  <w:right w:w="108" w:type="dxa"/>
                </w:tblCellMar>
              </w:tblPrEx>
              <w:trPr>
                <w:trHeight w:val="1098" w:hRule="atLeast"/>
              </w:trPr>
              <w:tc>
                <w:tcPr>
                  <w:tcW w:w="607" w:type="pct"/>
                  <w:vMerge w:val="restart"/>
                  <w:tcBorders>
                    <w:left w:val="double" w:color="000000" w:sz="6" w:space="0"/>
                  </w:tcBorders>
                  <w:shd w:val="clear" w:color="auto" w:fill="auto"/>
                  <w:vAlign w:val="center"/>
                </w:tcPr>
                <w:p>
                  <w:pPr>
                    <w:shd w:val="clear"/>
                    <w:jc w:val="center"/>
                    <w:rPr>
                      <w:rFonts w:ascii="仿宋" w:hAnsi="仿宋" w:eastAsia="仿宋"/>
                      <w:color w:val="000000"/>
                      <w:szCs w:val="21"/>
                      <w:highlight w:val="none"/>
                    </w:rPr>
                  </w:pPr>
                  <w:r>
                    <w:rPr>
                      <w:rFonts w:ascii="仿宋" w:hAnsi="仿宋" w:eastAsia="仿宋"/>
                      <w:color w:val="000000"/>
                      <w:szCs w:val="21"/>
                      <w:highlight w:val="none"/>
                    </w:rPr>
                    <w:t>8</w:t>
                  </w:r>
                </w:p>
              </w:tc>
              <w:tc>
                <w:tcPr>
                  <w:tcW w:w="572" w:type="pct"/>
                  <w:vMerge w:val="restart"/>
                  <w:shd w:val="clear" w:color="auto" w:fill="auto"/>
                  <w:vAlign w:val="center"/>
                </w:tcPr>
                <w:p>
                  <w:pPr>
                    <w:shd w:val="clear"/>
                    <w:snapToGrid w:val="0"/>
                    <w:jc w:val="center"/>
                    <w:rPr>
                      <w:rFonts w:ascii="仿宋" w:hAnsi="仿宋" w:eastAsia="仿宋" w:cs="仿宋"/>
                      <w:color w:val="000000"/>
                      <w:szCs w:val="21"/>
                      <w:highlight w:val="none"/>
                    </w:rPr>
                  </w:pPr>
                  <w:r>
                    <w:rPr>
                      <w:rFonts w:hint="eastAsia" w:ascii="仿宋" w:hAnsi="仿宋" w:eastAsia="仿宋" w:cs="仿宋"/>
                      <w:color w:val="000000"/>
                      <w:szCs w:val="21"/>
                      <w:highlight w:val="none"/>
                    </w:rPr>
                    <w:t>数据推送</w:t>
                  </w:r>
                </w:p>
              </w:tc>
              <w:tc>
                <w:tcPr>
                  <w:tcW w:w="1040" w:type="pct"/>
                  <w:vMerge w:val="restart"/>
                  <w:shd w:val="clear" w:color="auto" w:fill="auto"/>
                  <w:vAlign w:val="center"/>
                </w:tcPr>
                <w:p>
                  <w:pPr>
                    <w:shd w:val="clear"/>
                    <w:snapToGrid w:val="0"/>
                    <w:rPr>
                      <w:rFonts w:ascii="仿宋" w:hAnsi="仿宋" w:eastAsia="仿宋" w:cs="仿宋"/>
                      <w:szCs w:val="21"/>
                      <w:highlight w:val="none"/>
                    </w:rPr>
                  </w:pPr>
                  <w:r>
                    <w:rPr>
                      <w:rFonts w:hint="eastAsia" w:ascii="仿宋" w:hAnsi="仿宋" w:eastAsia="仿宋" w:cs="仿宋"/>
                      <w:szCs w:val="21"/>
                      <w:highlight w:val="none"/>
                    </w:rPr>
                    <w:t>数据完整、准确、及时推送至福建省公共资源交易电子公共服务平台，数据推送得分=10*（准确率*40%+及时率*40%+完整率*20%）</w:t>
                  </w:r>
                </w:p>
              </w:tc>
              <w:tc>
                <w:tcPr>
                  <w:tcW w:w="1241" w:type="pct"/>
                  <w:shd w:val="clear" w:color="auto" w:fill="auto"/>
                  <w:vAlign w:val="center"/>
                </w:tcPr>
                <w:p>
                  <w:pPr>
                    <w:shd w:val="clear"/>
                    <w:snapToGrid w:val="0"/>
                    <w:rPr>
                      <w:rFonts w:ascii="仿宋" w:hAnsi="仿宋" w:eastAsia="仿宋" w:cs="仿宋"/>
                      <w:szCs w:val="21"/>
                      <w:highlight w:val="none"/>
                    </w:rPr>
                  </w:pPr>
                  <w:r>
                    <w:rPr>
                      <w:rFonts w:hint="eastAsia" w:ascii="仿宋" w:hAnsi="仿宋" w:eastAsia="仿宋" w:cs="仿宋"/>
                      <w:szCs w:val="21"/>
                      <w:highlight w:val="none"/>
                    </w:rPr>
                    <w:t>1.数据上传准确率（占比40%）：得分为当周期省平台数据质量分析系统统计的准确率*40%。</w:t>
                  </w:r>
                </w:p>
              </w:tc>
              <w:tc>
                <w:tcPr>
                  <w:tcW w:w="406" w:type="pct"/>
                  <w:vMerge w:val="restart"/>
                  <w:shd w:val="clear" w:color="auto" w:fill="auto"/>
                  <w:vAlign w:val="center"/>
                </w:tcPr>
                <w:p>
                  <w:pPr>
                    <w:shd w:val="clear"/>
                    <w:jc w:val="center"/>
                    <w:rPr>
                      <w:rFonts w:ascii="仿宋" w:hAnsi="仿宋" w:eastAsia="仿宋"/>
                      <w:color w:val="000000"/>
                      <w:szCs w:val="21"/>
                      <w:highlight w:val="none"/>
                    </w:rPr>
                  </w:pPr>
                  <w:r>
                    <w:rPr>
                      <w:rFonts w:hint="eastAsia" w:ascii="仿宋" w:hAnsi="仿宋" w:eastAsia="仿宋"/>
                      <w:color w:val="000000"/>
                      <w:szCs w:val="21"/>
                      <w:highlight w:val="none"/>
                    </w:rPr>
                    <w:t>10</w:t>
                  </w:r>
                </w:p>
              </w:tc>
              <w:tc>
                <w:tcPr>
                  <w:tcW w:w="572" w:type="pct"/>
                  <w:vMerge w:val="restart"/>
                  <w:shd w:val="clear" w:color="auto" w:fill="auto"/>
                  <w:vAlign w:val="center"/>
                </w:tcPr>
                <w:p>
                  <w:pPr>
                    <w:shd w:val="clear"/>
                    <w:jc w:val="center"/>
                    <w:rPr>
                      <w:rFonts w:ascii="仿宋" w:hAnsi="仿宋" w:eastAsia="仿宋"/>
                      <w:color w:val="000000"/>
                      <w:szCs w:val="21"/>
                      <w:highlight w:val="none"/>
                    </w:rPr>
                  </w:pPr>
                </w:p>
              </w:tc>
              <w:tc>
                <w:tcPr>
                  <w:tcW w:w="562" w:type="pct"/>
                  <w:vMerge w:val="restart"/>
                  <w:tcBorders>
                    <w:right w:val="double" w:color="000000" w:sz="6" w:space="0"/>
                  </w:tcBorders>
                  <w:shd w:val="clear" w:color="auto" w:fill="auto"/>
                  <w:vAlign w:val="center"/>
                </w:tcPr>
                <w:p>
                  <w:pPr>
                    <w:shd w:val="clear"/>
                    <w:jc w:val="center"/>
                    <w:rPr>
                      <w:rFonts w:ascii="仿宋" w:hAnsi="仿宋" w:eastAsia="仿宋"/>
                      <w:color w:val="000000"/>
                      <w:szCs w:val="21"/>
                      <w:highlight w:val="none"/>
                    </w:rPr>
                  </w:pPr>
                </w:p>
              </w:tc>
            </w:tr>
            <w:tr>
              <w:tblPrEx>
                <w:tblBorders>
                  <w:top w:val="none" w:color="auto" w:sz="4" w:space="0"/>
                  <w:left w:val="none" w:color="auto" w:sz="4" w:space="0"/>
                  <w:bottom w:val="none" w:color="auto" w:sz="4" w:space="0"/>
                  <w:right w:val="non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trPr>
              <w:tc>
                <w:tcPr>
                  <w:tcW w:w="607" w:type="pct"/>
                  <w:vMerge w:val="continue"/>
                  <w:tcBorders>
                    <w:left w:val="double" w:color="000000" w:sz="6" w:space="0"/>
                  </w:tcBorders>
                  <w:shd w:val="clear" w:color="auto" w:fill="auto"/>
                  <w:vAlign w:val="center"/>
                </w:tcPr>
                <w:p>
                  <w:pPr>
                    <w:shd w:val="clear"/>
                    <w:jc w:val="center"/>
                    <w:rPr>
                      <w:rFonts w:ascii="仿宋" w:hAnsi="仿宋" w:eastAsia="仿宋"/>
                      <w:color w:val="000000"/>
                      <w:szCs w:val="21"/>
                      <w:highlight w:val="none"/>
                    </w:rPr>
                  </w:pPr>
                </w:p>
              </w:tc>
              <w:tc>
                <w:tcPr>
                  <w:tcW w:w="572" w:type="pct"/>
                  <w:vMerge w:val="continue"/>
                  <w:vAlign w:val="center"/>
                </w:tcPr>
                <w:p>
                  <w:pPr>
                    <w:shd w:val="clear"/>
                    <w:snapToGrid w:val="0"/>
                    <w:jc w:val="center"/>
                    <w:rPr>
                      <w:rFonts w:ascii="仿宋" w:hAnsi="仿宋" w:eastAsia="仿宋" w:cs="仿宋"/>
                      <w:color w:val="000000"/>
                      <w:szCs w:val="21"/>
                      <w:highlight w:val="none"/>
                    </w:rPr>
                  </w:pPr>
                </w:p>
              </w:tc>
              <w:tc>
                <w:tcPr>
                  <w:tcW w:w="1040" w:type="pct"/>
                  <w:vMerge w:val="continue"/>
                  <w:shd w:val="clear" w:color="auto" w:fill="auto"/>
                  <w:vAlign w:val="center"/>
                </w:tcPr>
                <w:p>
                  <w:pPr>
                    <w:shd w:val="clear"/>
                    <w:snapToGrid w:val="0"/>
                    <w:rPr>
                      <w:rFonts w:ascii="仿宋" w:hAnsi="仿宋" w:eastAsia="仿宋" w:cs="仿宋"/>
                      <w:color w:val="000000"/>
                      <w:szCs w:val="21"/>
                      <w:highlight w:val="none"/>
                    </w:rPr>
                  </w:pPr>
                </w:p>
              </w:tc>
              <w:tc>
                <w:tcPr>
                  <w:tcW w:w="1241" w:type="pct"/>
                  <w:shd w:val="clear" w:color="auto" w:fill="auto"/>
                  <w:vAlign w:val="center"/>
                </w:tcPr>
                <w:p>
                  <w:pPr>
                    <w:shd w:val="clear"/>
                    <w:snapToGrid w:val="0"/>
                    <w:rPr>
                      <w:rFonts w:ascii="仿宋" w:hAnsi="仿宋" w:eastAsia="仿宋" w:cs="仿宋"/>
                      <w:szCs w:val="21"/>
                      <w:highlight w:val="none"/>
                    </w:rPr>
                  </w:pPr>
                  <w:r>
                    <w:rPr>
                      <w:rFonts w:hint="eastAsia" w:ascii="仿宋" w:hAnsi="仿宋" w:eastAsia="仿宋" w:cs="仿宋"/>
                      <w:szCs w:val="21"/>
                      <w:highlight w:val="none"/>
                    </w:rPr>
                    <w:t>2.数据上传及时率（占比40%）：得分为当周期省平台数据质量分析系统统计的及时率*40%。</w:t>
                  </w:r>
                </w:p>
              </w:tc>
              <w:tc>
                <w:tcPr>
                  <w:tcW w:w="406" w:type="pct"/>
                  <w:vMerge w:val="continue"/>
                  <w:shd w:val="clear" w:color="auto" w:fill="auto"/>
                  <w:vAlign w:val="center"/>
                </w:tcPr>
                <w:p>
                  <w:pPr>
                    <w:shd w:val="clear"/>
                    <w:jc w:val="center"/>
                    <w:rPr>
                      <w:rFonts w:ascii="仿宋" w:hAnsi="仿宋" w:eastAsia="仿宋"/>
                      <w:color w:val="000000"/>
                      <w:szCs w:val="21"/>
                      <w:highlight w:val="none"/>
                    </w:rPr>
                  </w:pPr>
                </w:p>
              </w:tc>
              <w:tc>
                <w:tcPr>
                  <w:tcW w:w="572" w:type="pct"/>
                  <w:vMerge w:val="continue"/>
                  <w:shd w:val="clear" w:color="auto" w:fill="auto"/>
                  <w:vAlign w:val="center"/>
                </w:tcPr>
                <w:p>
                  <w:pPr>
                    <w:shd w:val="clear"/>
                    <w:jc w:val="center"/>
                    <w:rPr>
                      <w:rFonts w:ascii="仿宋" w:hAnsi="仿宋" w:eastAsia="仿宋"/>
                      <w:color w:val="000000"/>
                      <w:szCs w:val="21"/>
                      <w:highlight w:val="none"/>
                    </w:rPr>
                  </w:pPr>
                </w:p>
              </w:tc>
              <w:tc>
                <w:tcPr>
                  <w:tcW w:w="562" w:type="pct"/>
                  <w:vMerge w:val="continue"/>
                  <w:tcBorders>
                    <w:right w:val="double" w:color="000000" w:sz="6" w:space="0"/>
                  </w:tcBorders>
                  <w:shd w:val="clear" w:color="auto" w:fill="auto"/>
                  <w:vAlign w:val="center"/>
                </w:tcPr>
                <w:p>
                  <w:pPr>
                    <w:shd w:val="clear"/>
                    <w:jc w:val="center"/>
                    <w:rPr>
                      <w:rFonts w:ascii="仿宋" w:hAnsi="仿宋" w:eastAsia="仿宋"/>
                      <w:color w:val="000000"/>
                      <w:szCs w:val="21"/>
                      <w:highlight w:val="none"/>
                    </w:rPr>
                  </w:pPr>
                </w:p>
              </w:tc>
            </w:tr>
            <w:tr>
              <w:tblPrEx>
                <w:tblBorders>
                  <w:top w:val="none" w:color="auto" w:sz="4" w:space="0"/>
                  <w:left w:val="none" w:color="auto" w:sz="4" w:space="0"/>
                  <w:bottom w:val="none" w:color="auto" w:sz="4" w:space="0"/>
                  <w:right w:val="none" w:color="auto" w:sz="4" w:space="0"/>
                  <w:insideH w:val="single" w:color="auto" w:sz="4" w:space="0"/>
                  <w:insideV w:val="single" w:color="auto" w:sz="4" w:space="0"/>
                </w:tblBorders>
                <w:tblCellMar>
                  <w:top w:w="0" w:type="dxa"/>
                  <w:left w:w="108" w:type="dxa"/>
                  <w:bottom w:w="0" w:type="dxa"/>
                  <w:right w:w="108" w:type="dxa"/>
                </w:tblCellMar>
              </w:tblPrEx>
              <w:trPr>
                <w:trHeight w:val="1098" w:hRule="atLeast"/>
              </w:trPr>
              <w:tc>
                <w:tcPr>
                  <w:tcW w:w="607" w:type="pct"/>
                  <w:vMerge w:val="continue"/>
                  <w:tcBorders>
                    <w:left w:val="double" w:color="000000" w:sz="6" w:space="0"/>
                  </w:tcBorders>
                  <w:shd w:val="clear" w:color="auto" w:fill="auto"/>
                  <w:vAlign w:val="center"/>
                </w:tcPr>
                <w:p>
                  <w:pPr>
                    <w:shd w:val="clear"/>
                    <w:jc w:val="center"/>
                    <w:rPr>
                      <w:rFonts w:ascii="仿宋" w:hAnsi="仿宋" w:eastAsia="仿宋"/>
                      <w:color w:val="000000"/>
                      <w:szCs w:val="21"/>
                      <w:highlight w:val="none"/>
                    </w:rPr>
                  </w:pPr>
                </w:p>
              </w:tc>
              <w:tc>
                <w:tcPr>
                  <w:tcW w:w="572" w:type="pct"/>
                  <w:vMerge w:val="continue"/>
                  <w:vAlign w:val="center"/>
                </w:tcPr>
                <w:p>
                  <w:pPr>
                    <w:shd w:val="clear"/>
                    <w:snapToGrid w:val="0"/>
                    <w:jc w:val="center"/>
                    <w:rPr>
                      <w:rFonts w:ascii="仿宋" w:hAnsi="仿宋" w:eastAsia="仿宋" w:cs="仿宋"/>
                      <w:color w:val="000000"/>
                      <w:szCs w:val="21"/>
                      <w:highlight w:val="none"/>
                    </w:rPr>
                  </w:pPr>
                </w:p>
              </w:tc>
              <w:tc>
                <w:tcPr>
                  <w:tcW w:w="1040" w:type="pct"/>
                  <w:vMerge w:val="continue"/>
                  <w:shd w:val="clear" w:color="auto" w:fill="auto"/>
                  <w:vAlign w:val="center"/>
                </w:tcPr>
                <w:p>
                  <w:pPr>
                    <w:shd w:val="clear"/>
                    <w:snapToGrid w:val="0"/>
                    <w:rPr>
                      <w:rFonts w:ascii="仿宋" w:hAnsi="仿宋" w:eastAsia="仿宋" w:cs="仿宋"/>
                      <w:color w:val="000000"/>
                      <w:szCs w:val="21"/>
                      <w:highlight w:val="none"/>
                    </w:rPr>
                  </w:pPr>
                </w:p>
              </w:tc>
              <w:tc>
                <w:tcPr>
                  <w:tcW w:w="1241" w:type="pct"/>
                  <w:shd w:val="clear" w:color="auto" w:fill="auto"/>
                  <w:vAlign w:val="center"/>
                </w:tcPr>
                <w:p>
                  <w:pPr>
                    <w:shd w:val="clear"/>
                    <w:snapToGrid w:val="0"/>
                    <w:rPr>
                      <w:rFonts w:ascii="仿宋" w:hAnsi="仿宋" w:eastAsia="仿宋" w:cs="仿宋"/>
                      <w:szCs w:val="21"/>
                      <w:highlight w:val="none"/>
                    </w:rPr>
                  </w:pPr>
                  <w:r>
                    <w:rPr>
                      <w:rFonts w:hint="eastAsia" w:ascii="仿宋" w:hAnsi="仿宋" w:eastAsia="仿宋" w:cs="仿宋"/>
                      <w:szCs w:val="21"/>
                      <w:highlight w:val="none"/>
                    </w:rPr>
                    <w:t>3.数据上传完整率（占比20%）：得分为当周期省平台数据质量分析系统统计的完整率*20%。</w:t>
                  </w:r>
                </w:p>
              </w:tc>
              <w:tc>
                <w:tcPr>
                  <w:tcW w:w="406" w:type="pct"/>
                  <w:vMerge w:val="continue"/>
                  <w:shd w:val="clear" w:color="auto" w:fill="auto"/>
                  <w:vAlign w:val="center"/>
                </w:tcPr>
                <w:p>
                  <w:pPr>
                    <w:shd w:val="clear"/>
                    <w:jc w:val="center"/>
                    <w:rPr>
                      <w:rFonts w:ascii="仿宋" w:hAnsi="仿宋" w:eastAsia="仿宋"/>
                      <w:color w:val="000000"/>
                      <w:szCs w:val="21"/>
                      <w:highlight w:val="none"/>
                    </w:rPr>
                  </w:pPr>
                </w:p>
              </w:tc>
              <w:tc>
                <w:tcPr>
                  <w:tcW w:w="572" w:type="pct"/>
                  <w:vMerge w:val="continue"/>
                  <w:shd w:val="clear" w:color="auto" w:fill="auto"/>
                  <w:vAlign w:val="center"/>
                </w:tcPr>
                <w:p>
                  <w:pPr>
                    <w:shd w:val="clear"/>
                    <w:jc w:val="center"/>
                    <w:rPr>
                      <w:rFonts w:ascii="仿宋" w:hAnsi="仿宋" w:eastAsia="仿宋"/>
                      <w:color w:val="000000"/>
                      <w:szCs w:val="21"/>
                      <w:highlight w:val="none"/>
                    </w:rPr>
                  </w:pPr>
                </w:p>
              </w:tc>
              <w:tc>
                <w:tcPr>
                  <w:tcW w:w="562" w:type="pct"/>
                  <w:vMerge w:val="continue"/>
                  <w:tcBorders>
                    <w:right w:val="double" w:color="000000" w:sz="6" w:space="0"/>
                  </w:tcBorders>
                  <w:shd w:val="clear" w:color="auto" w:fill="auto"/>
                  <w:vAlign w:val="center"/>
                </w:tcPr>
                <w:p>
                  <w:pPr>
                    <w:shd w:val="clear"/>
                    <w:jc w:val="center"/>
                    <w:rPr>
                      <w:rFonts w:ascii="仿宋" w:hAnsi="仿宋" w:eastAsia="仿宋"/>
                      <w:color w:val="000000"/>
                      <w:szCs w:val="21"/>
                      <w:highlight w:val="none"/>
                    </w:rPr>
                  </w:pPr>
                </w:p>
              </w:tc>
            </w:tr>
            <w:tr>
              <w:tblPrEx>
                <w:tblBorders>
                  <w:top w:val="none" w:color="auto" w:sz="4" w:space="0"/>
                  <w:left w:val="none" w:color="auto" w:sz="4" w:space="0"/>
                  <w:bottom w:val="none" w:color="auto" w:sz="4" w:space="0"/>
                  <w:right w:val="none" w:color="auto" w:sz="4" w:space="0"/>
                  <w:insideH w:val="single" w:color="auto" w:sz="4" w:space="0"/>
                  <w:insideV w:val="single" w:color="auto" w:sz="4" w:space="0"/>
                </w:tblBorders>
                <w:tblCellMar>
                  <w:top w:w="0" w:type="dxa"/>
                  <w:left w:w="108" w:type="dxa"/>
                  <w:bottom w:w="0" w:type="dxa"/>
                  <w:right w:w="108" w:type="dxa"/>
                </w:tblCellMar>
              </w:tblPrEx>
              <w:trPr>
                <w:trHeight w:val="1098" w:hRule="atLeast"/>
              </w:trPr>
              <w:tc>
                <w:tcPr>
                  <w:tcW w:w="607" w:type="pct"/>
                  <w:tcBorders>
                    <w:left w:val="double" w:color="000000" w:sz="6" w:space="0"/>
                  </w:tcBorders>
                  <w:shd w:val="clear" w:color="auto" w:fill="auto"/>
                  <w:vAlign w:val="center"/>
                </w:tcPr>
                <w:p>
                  <w:pPr>
                    <w:shd w:val="clear"/>
                    <w:jc w:val="center"/>
                    <w:rPr>
                      <w:rFonts w:ascii="仿宋" w:hAnsi="仿宋" w:eastAsia="仿宋"/>
                      <w:color w:val="000000"/>
                      <w:szCs w:val="21"/>
                      <w:highlight w:val="none"/>
                    </w:rPr>
                  </w:pPr>
                  <w:r>
                    <w:rPr>
                      <w:rFonts w:hint="eastAsia" w:ascii="仿宋" w:hAnsi="仿宋" w:eastAsia="仿宋"/>
                      <w:color w:val="000000"/>
                      <w:szCs w:val="21"/>
                      <w:highlight w:val="none"/>
                    </w:rPr>
                    <w:t>9</w:t>
                  </w:r>
                </w:p>
              </w:tc>
              <w:tc>
                <w:tcPr>
                  <w:tcW w:w="572" w:type="pct"/>
                  <w:vAlign w:val="center"/>
                </w:tcPr>
                <w:p>
                  <w:pPr>
                    <w:shd w:val="clear"/>
                    <w:snapToGrid w:val="0"/>
                    <w:jc w:val="center"/>
                    <w:rPr>
                      <w:rFonts w:ascii="仿宋" w:hAnsi="仿宋" w:eastAsia="仿宋" w:cs="仿宋"/>
                      <w:szCs w:val="21"/>
                      <w:highlight w:val="none"/>
                    </w:rPr>
                  </w:pPr>
                  <w:r>
                    <w:rPr>
                      <w:rFonts w:hint="eastAsia" w:ascii="仿宋" w:hAnsi="仿宋" w:eastAsia="仿宋" w:cs="仿宋"/>
                      <w:color w:val="000000"/>
                      <w:szCs w:val="21"/>
                      <w:highlight w:val="none"/>
                    </w:rPr>
                    <w:t>培训服务</w:t>
                  </w:r>
                </w:p>
              </w:tc>
              <w:tc>
                <w:tcPr>
                  <w:tcW w:w="1040" w:type="pct"/>
                  <w:shd w:val="clear" w:color="auto" w:fill="auto"/>
                  <w:vAlign w:val="center"/>
                </w:tcPr>
                <w:p>
                  <w:pPr>
                    <w:shd w:val="clear"/>
                    <w:snapToGrid w:val="0"/>
                    <w:rPr>
                      <w:rFonts w:ascii="仿宋" w:hAnsi="仿宋" w:eastAsia="仿宋" w:cs="仿宋"/>
                      <w:szCs w:val="21"/>
                      <w:highlight w:val="none"/>
                    </w:rPr>
                  </w:pPr>
                  <w:r>
                    <w:rPr>
                      <w:rFonts w:hint="eastAsia" w:ascii="仿宋" w:hAnsi="仿宋" w:eastAsia="仿宋" w:cs="仿宋"/>
                      <w:szCs w:val="21"/>
                      <w:highlight w:val="none"/>
                    </w:rPr>
                    <w:t>对用户进行线上或线下培训</w:t>
                  </w:r>
                </w:p>
              </w:tc>
              <w:tc>
                <w:tcPr>
                  <w:tcW w:w="1241" w:type="pct"/>
                  <w:shd w:val="clear" w:color="auto" w:fill="auto"/>
                  <w:vAlign w:val="center"/>
                </w:tcPr>
                <w:p>
                  <w:pPr>
                    <w:shd w:val="clear"/>
                    <w:snapToGrid w:val="0"/>
                    <w:rPr>
                      <w:rFonts w:ascii="仿宋" w:hAnsi="仿宋" w:eastAsia="仿宋" w:cs="仿宋"/>
                      <w:szCs w:val="21"/>
                      <w:highlight w:val="none"/>
                    </w:rPr>
                  </w:pPr>
                  <w:r>
                    <w:rPr>
                      <w:rFonts w:hint="eastAsia" w:ascii="仿宋" w:hAnsi="仿宋" w:eastAsia="仿宋" w:cs="仿宋"/>
                      <w:szCs w:val="21"/>
                      <w:highlight w:val="none"/>
                    </w:rPr>
                    <w:t>每周期不定期开展培训，未开展培训则此项不得分。</w:t>
                  </w:r>
                </w:p>
              </w:tc>
              <w:tc>
                <w:tcPr>
                  <w:tcW w:w="406" w:type="pct"/>
                  <w:shd w:val="clear" w:color="auto" w:fill="auto"/>
                  <w:vAlign w:val="center"/>
                </w:tcPr>
                <w:p>
                  <w:pPr>
                    <w:shd w:val="clear"/>
                    <w:snapToGrid w:val="0"/>
                    <w:jc w:val="center"/>
                    <w:rPr>
                      <w:rFonts w:ascii="仿宋" w:hAnsi="仿宋" w:eastAsia="仿宋" w:cs="仿宋"/>
                      <w:szCs w:val="21"/>
                      <w:highlight w:val="none"/>
                    </w:rPr>
                  </w:pPr>
                  <w:r>
                    <w:rPr>
                      <w:rFonts w:hint="eastAsia" w:ascii="仿宋" w:hAnsi="仿宋" w:eastAsia="仿宋" w:cs="仿宋"/>
                      <w:szCs w:val="21"/>
                      <w:highlight w:val="none"/>
                    </w:rPr>
                    <w:t>10</w:t>
                  </w:r>
                </w:p>
              </w:tc>
              <w:tc>
                <w:tcPr>
                  <w:tcW w:w="572" w:type="pct"/>
                  <w:shd w:val="clear" w:color="auto" w:fill="auto"/>
                  <w:vAlign w:val="center"/>
                </w:tcPr>
                <w:p>
                  <w:pPr>
                    <w:shd w:val="clear"/>
                    <w:snapToGrid w:val="0"/>
                    <w:jc w:val="center"/>
                    <w:rPr>
                      <w:rFonts w:ascii="仿宋" w:hAnsi="仿宋" w:eastAsia="仿宋" w:cs="仿宋"/>
                      <w:szCs w:val="21"/>
                      <w:highlight w:val="none"/>
                    </w:rPr>
                  </w:pPr>
                </w:p>
              </w:tc>
              <w:tc>
                <w:tcPr>
                  <w:tcW w:w="562" w:type="pct"/>
                  <w:tcBorders>
                    <w:right w:val="double" w:color="000000" w:sz="6" w:space="0"/>
                  </w:tcBorders>
                  <w:shd w:val="clear" w:color="auto" w:fill="auto"/>
                  <w:vAlign w:val="center"/>
                </w:tcPr>
                <w:p>
                  <w:pPr>
                    <w:shd w:val="clear"/>
                    <w:jc w:val="center"/>
                    <w:rPr>
                      <w:rFonts w:ascii="仿宋" w:hAnsi="仿宋" w:eastAsia="仿宋"/>
                      <w:color w:val="000000"/>
                      <w:szCs w:val="21"/>
                      <w:highlight w:val="none"/>
                    </w:rPr>
                  </w:pPr>
                </w:p>
              </w:tc>
            </w:tr>
            <w:tr>
              <w:tblPrEx>
                <w:tblBorders>
                  <w:top w:val="none" w:color="auto" w:sz="4" w:space="0"/>
                  <w:left w:val="none" w:color="auto" w:sz="4" w:space="0"/>
                  <w:bottom w:val="none" w:color="auto" w:sz="4" w:space="0"/>
                  <w:right w:val="none" w:color="auto" w:sz="4" w:space="0"/>
                  <w:insideH w:val="single" w:color="auto" w:sz="4" w:space="0"/>
                  <w:insideV w:val="single" w:color="auto" w:sz="4" w:space="0"/>
                </w:tblBorders>
                <w:tblCellMar>
                  <w:top w:w="0" w:type="dxa"/>
                  <w:left w:w="108" w:type="dxa"/>
                  <w:bottom w:w="0" w:type="dxa"/>
                  <w:right w:w="108" w:type="dxa"/>
                </w:tblCellMar>
              </w:tblPrEx>
              <w:trPr>
                <w:trHeight w:val="1106" w:hRule="atLeast"/>
              </w:trPr>
              <w:tc>
                <w:tcPr>
                  <w:tcW w:w="607" w:type="pct"/>
                  <w:tcBorders>
                    <w:left w:val="double" w:color="000000" w:sz="6" w:space="0"/>
                  </w:tcBorders>
                  <w:shd w:val="clear" w:color="auto" w:fill="auto"/>
                  <w:vAlign w:val="center"/>
                </w:tcPr>
                <w:p>
                  <w:pPr>
                    <w:shd w:val="clear"/>
                    <w:jc w:val="center"/>
                    <w:rPr>
                      <w:rFonts w:ascii="仿宋" w:hAnsi="仿宋" w:eastAsia="仿宋"/>
                      <w:color w:val="000000"/>
                      <w:szCs w:val="21"/>
                      <w:highlight w:val="none"/>
                    </w:rPr>
                  </w:pPr>
                  <w:r>
                    <w:rPr>
                      <w:rFonts w:hint="eastAsia" w:ascii="仿宋" w:hAnsi="仿宋" w:eastAsia="仿宋"/>
                      <w:color w:val="000000"/>
                      <w:szCs w:val="21"/>
                      <w:highlight w:val="none"/>
                    </w:rPr>
                    <w:t>10</w:t>
                  </w:r>
                </w:p>
              </w:tc>
              <w:tc>
                <w:tcPr>
                  <w:tcW w:w="572" w:type="pct"/>
                  <w:shd w:val="clear" w:color="auto" w:fill="auto"/>
                  <w:vAlign w:val="center"/>
                </w:tcPr>
                <w:p>
                  <w:pPr>
                    <w:shd w:val="clear"/>
                    <w:snapToGrid w:val="0"/>
                    <w:jc w:val="center"/>
                    <w:rPr>
                      <w:rFonts w:ascii="仿宋" w:hAnsi="仿宋" w:eastAsia="仿宋" w:cs="仿宋"/>
                      <w:szCs w:val="21"/>
                      <w:highlight w:val="none"/>
                    </w:rPr>
                  </w:pPr>
                  <w:r>
                    <w:rPr>
                      <w:rFonts w:hint="eastAsia" w:ascii="仿宋" w:hAnsi="仿宋" w:eastAsia="仿宋" w:cs="仿宋"/>
                      <w:szCs w:val="21"/>
                      <w:highlight w:val="none"/>
                    </w:rPr>
                    <w:t>服务报告</w:t>
                  </w:r>
                </w:p>
              </w:tc>
              <w:tc>
                <w:tcPr>
                  <w:tcW w:w="1040" w:type="pct"/>
                  <w:shd w:val="clear" w:color="auto" w:fill="auto"/>
                  <w:vAlign w:val="center"/>
                </w:tcPr>
                <w:p>
                  <w:pPr>
                    <w:shd w:val="clear"/>
                    <w:snapToGrid w:val="0"/>
                    <w:rPr>
                      <w:rFonts w:ascii="仿宋" w:hAnsi="仿宋" w:eastAsia="仿宋" w:cs="仿宋"/>
                      <w:szCs w:val="21"/>
                      <w:highlight w:val="none"/>
                    </w:rPr>
                  </w:pPr>
                  <w:r>
                    <w:rPr>
                      <w:rFonts w:hint="eastAsia" w:ascii="仿宋" w:hAnsi="仿宋" w:eastAsia="仿宋" w:cs="仿宋"/>
                      <w:szCs w:val="21"/>
                      <w:highlight w:val="none"/>
                    </w:rPr>
                    <w:t>按周期提交服务报告</w:t>
                  </w:r>
                </w:p>
              </w:tc>
              <w:tc>
                <w:tcPr>
                  <w:tcW w:w="1241" w:type="pct"/>
                  <w:shd w:val="clear" w:color="auto" w:fill="auto"/>
                  <w:vAlign w:val="center"/>
                </w:tcPr>
                <w:p>
                  <w:pPr>
                    <w:shd w:val="clear"/>
                    <w:snapToGrid w:val="0"/>
                    <w:rPr>
                      <w:rFonts w:ascii="仿宋" w:hAnsi="仿宋" w:eastAsia="仿宋" w:cs="仿宋"/>
                      <w:szCs w:val="21"/>
                      <w:highlight w:val="none"/>
                    </w:rPr>
                  </w:pPr>
                  <w:r>
                    <w:rPr>
                      <w:rFonts w:hint="eastAsia" w:ascii="仿宋" w:hAnsi="仿宋" w:eastAsia="仿宋" w:cs="仿宋"/>
                      <w:szCs w:val="21"/>
                      <w:highlight w:val="none"/>
                    </w:rPr>
                    <w:t>每周期结束后，提交一份周期服务报告，对每周期各项服务及流程执行情况进行分析、总结，检查发现未提交，此项不得分。</w:t>
                  </w:r>
                </w:p>
              </w:tc>
              <w:tc>
                <w:tcPr>
                  <w:tcW w:w="406" w:type="pct"/>
                  <w:shd w:val="clear" w:color="auto" w:fill="auto"/>
                  <w:vAlign w:val="center"/>
                </w:tcPr>
                <w:p>
                  <w:pPr>
                    <w:shd w:val="clear"/>
                    <w:snapToGrid w:val="0"/>
                    <w:jc w:val="center"/>
                    <w:rPr>
                      <w:rFonts w:ascii="仿宋" w:hAnsi="仿宋" w:eastAsia="仿宋" w:cs="仿宋"/>
                      <w:szCs w:val="21"/>
                      <w:highlight w:val="none"/>
                    </w:rPr>
                  </w:pPr>
                  <w:r>
                    <w:rPr>
                      <w:rFonts w:hint="eastAsia" w:ascii="仿宋" w:hAnsi="仿宋" w:eastAsia="仿宋" w:cs="仿宋"/>
                      <w:szCs w:val="21"/>
                      <w:highlight w:val="none"/>
                    </w:rPr>
                    <w:t>15</w:t>
                  </w:r>
                </w:p>
              </w:tc>
              <w:tc>
                <w:tcPr>
                  <w:tcW w:w="572" w:type="pct"/>
                  <w:shd w:val="clear" w:color="auto" w:fill="auto"/>
                  <w:vAlign w:val="center"/>
                </w:tcPr>
                <w:p>
                  <w:pPr>
                    <w:shd w:val="clear"/>
                    <w:snapToGrid w:val="0"/>
                    <w:jc w:val="center"/>
                    <w:rPr>
                      <w:rFonts w:ascii="仿宋" w:hAnsi="仿宋" w:eastAsia="仿宋" w:cs="仿宋"/>
                      <w:szCs w:val="21"/>
                      <w:highlight w:val="none"/>
                    </w:rPr>
                  </w:pPr>
                </w:p>
              </w:tc>
              <w:tc>
                <w:tcPr>
                  <w:tcW w:w="562" w:type="pct"/>
                  <w:tcBorders>
                    <w:right w:val="double" w:color="000000" w:sz="6" w:space="0"/>
                  </w:tcBorders>
                  <w:shd w:val="clear" w:color="auto" w:fill="auto"/>
                  <w:vAlign w:val="center"/>
                </w:tcPr>
                <w:p>
                  <w:pPr>
                    <w:shd w:val="clear"/>
                    <w:jc w:val="center"/>
                    <w:rPr>
                      <w:rFonts w:ascii="仿宋" w:hAnsi="仿宋" w:eastAsia="仿宋"/>
                      <w:color w:val="000000"/>
                      <w:szCs w:val="21"/>
                      <w:highlight w:val="none"/>
                    </w:rPr>
                  </w:pPr>
                </w:p>
              </w:tc>
            </w:tr>
            <w:tr>
              <w:tblPrEx>
                <w:tblBorders>
                  <w:top w:val="none" w:color="auto" w:sz="4" w:space="0"/>
                  <w:left w:val="none" w:color="auto" w:sz="4" w:space="0"/>
                  <w:bottom w:val="none" w:color="auto" w:sz="4" w:space="0"/>
                  <w:right w:val="none" w:color="auto" w:sz="4" w:space="0"/>
                  <w:insideH w:val="single" w:color="auto" w:sz="4" w:space="0"/>
                  <w:insideV w:val="single" w:color="auto" w:sz="4" w:space="0"/>
                </w:tblBorders>
                <w:tblCellMar>
                  <w:top w:w="0" w:type="dxa"/>
                  <w:left w:w="108" w:type="dxa"/>
                  <w:bottom w:w="0" w:type="dxa"/>
                  <w:right w:w="108" w:type="dxa"/>
                </w:tblCellMar>
              </w:tblPrEx>
              <w:trPr>
                <w:gridAfter w:val="4"/>
                <w:wAfter w:w="2781" w:type="pct"/>
                <w:trHeight w:val="614" w:hRule="atLeast"/>
              </w:trPr>
              <w:tc>
                <w:tcPr>
                  <w:tcW w:w="607" w:type="pct"/>
                  <w:tcBorders>
                    <w:left w:val="single" w:color="000000" w:sz="4" w:space="0"/>
                    <w:bottom w:val="single" w:color="000000" w:sz="4" w:space="0"/>
                  </w:tcBorders>
                  <w:shd w:val="clear" w:color="auto" w:fill="auto"/>
                  <w:vAlign w:val="center"/>
                </w:tcPr>
                <w:p>
                  <w:pPr>
                    <w:shd w:val="clear"/>
                    <w:jc w:val="center"/>
                    <w:rPr>
                      <w:rFonts w:ascii="仿宋" w:hAnsi="仿宋" w:eastAsia="仿宋"/>
                      <w:color w:val="000000"/>
                      <w:szCs w:val="21"/>
                      <w:highlight w:val="none"/>
                    </w:rPr>
                  </w:pPr>
                  <w:r>
                    <w:rPr>
                      <w:rFonts w:hint="eastAsia" w:ascii="仿宋" w:hAnsi="仿宋" w:eastAsia="仿宋" w:cs="仿宋"/>
                      <w:b/>
                      <w:bCs/>
                      <w:sz w:val="30"/>
                      <w:szCs w:val="30"/>
                      <w:highlight w:val="none"/>
                    </w:rPr>
                    <w:t>总得分</w:t>
                  </w:r>
                </w:p>
              </w:tc>
              <w:tc>
                <w:tcPr>
                  <w:tcW w:w="572" w:type="pct"/>
                  <w:tcBorders>
                    <w:bottom w:val="single" w:color="000000" w:sz="4" w:space="0"/>
                  </w:tcBorders>
                  <w:shd w:val="clear" w:color="auto" w:fill="auto"/>
                  <w:vAlign w:val="center"/>
                </w:tcPr>
                <w:p>
                  <w:pPr>
                    <w:shd w:val="clear"/>
                    <w:jc w:val="center"/>
                    <w:rPr>
                      <w:rFonts w:ascii="仿宋" w:hAnsi="仿宋" w:eastAsia="仿宋"/>
                      <w:color w:val="000000"/>
                      <w:szCs w:val="21"/>
                      <w:highlight w:val="none"/>
                    </w:rPr>
                  </w:pPr>
                </w:p>
              </w:tc>
              <w:tc>
                <w:tcPr>
                  <w:tcW w:w="1040" w:type="pct"/>
                  <w:tcBorders>
                    <w:bottom w:val="single" w:color="000000" w:sz="4" w:space="0"/>
                    <w:right w:val="single" w:color="000000" w:sz="4" w:space="0"/>
                  </w:tcBorders>
                  <w:shd w:val="clear" w:color="auto" w:fill="auto"/>
                  <w:vAlign w:val="center"/>
                </w:tcPr>
                <w:p>
                  <w:pPr>
                    <w:shd w:val="clear"/>
                    <w:jc w:val="center"/>
                    <w:rPr>
                      <w:rFonts w:ascii="仿宋" w:hAnsi="仿宋" w:eastAsia="仿宋"/>
                      <w:color w:val="000000"/>
                      <w:szCs w:val="21"/>
                      <w:highlight w:val="none"/>
                    </w:rPr>
                  </w:pPr>
                </w:p>
              </w:tc>
            </w:tr>
          </w:tbl>
          <w:p>
            <w:pPr>
              <w:widowControl w:val="0"/>
              <w:shd w:val="clear"/>
              <w:jc w:val="left"/>
              <w:rPr>
                <w:b/>
                <w:bCs/>
                <w:sz w:val="30"/>
                <w:szCs w:val="30"/>
                <w:highlight w:val="none"/>
              </w:rPr>
            </w:pPr>
          </w:p>
        </w:tc>
      </w:tr>
    </w:tbl>
    <w:p>
      <w:pPr>
        <w:shd w:val="clear"/>
        <w:spacing w:line="555" w:lineRule="atLeast"/>
        <w:rPr>
          <w:highlight w:val="none"/>
        </w:rPr>
      </w:pPr>
      <w:r>
        <w:rPr>
          <w:rFonts w:ascii="Calibri" w:hAnsi="Calibri" w:eastAsia="Calibri" w:cs="Calibri"/>
          <w:sz w:val="32"/>
          <w:szCs w:val="32"/>
          <w:highlight w:val="none"/>
        </w:rPr>
        <w:t> </w:t>
      </w:r>
      <w:r>
        <w:rPr>
          <w:rFonts w:hint="eastAsia" w:ascii="Calibri" w:hAnsi="Calibri" w:eastAsia="宋体" w:cs="Calibri"/>
          <w:sz w:val="32"/>
          <w:szCs w:val="32"/>
          <w:highlight w:val="none"/>
          <w:lang w:val="en-US" w:eastAsia="zh-CN"/>
        </w:rPr>
        <w:t xml:space="preserve">      </w:t>
      </w:r>
      <w:r>
        <w:rPr>
          <w:rFonts w:ascii="仿宋" w:hAnsi="仿宋" w:eastAsia="仿宋" w:cs="仿宋"/>
          <w:sz w:val="32"/>
          <w:szCs w:val="32"/>
          <w:highlight w:val="none"/>
        </w:rPr>
        <w:t>每周期根据考核结果核算技术服务费。</w:t>
      </w:r>
    </w:p>
    <w:p>
      <w:pPr>
        <w:shd w:val="clear"/>
        <w:spacing w:line="555" w:lineRule="atLeast"/>
        <w:ind w:firstLine="645"/>
        <w:rPr>
          <w:highlight w:val="none"/>
        </w:rPr>
      </w:pPr>
      <w:r>
        <w:rPr>
          <w:rFonts w:ascii="仿宋" w:hAnsi="仿宋" w:eastAsia="仿宋" w:cs="仿宋"/>
          <w:sz w:val="32"/>
          <w:szCs w:val="32"/>
          <w:highlight w:val="none"/>
        </w:rPr>
        <w:t>1.当周期考核得分≥80，本周期的最终结算金额按预结算金额正常结算，最终结算公式如下：本周期最终结算金额=本周期预结算金额。</w:t>
      </w:r>
    </w:p>
    <w:p>
      <w:pPr>
        <w:shd w:val="clear"/>
        <w:spacing w:line="555" w:lineRule="atLeast"/>
        <w:ind w:firstLine="645"/>
        <w:rPr>
          <w:highlight w:val="none"/>
        </w:rPr>
      </w:pPr>
      <w:r>
        <w:rPr>
          <w:rFonts w:ascii="仿宋" w:hAnsi="仿宋" w:eastAsia="仿宋" w:cs="仿宋"/>
          <w:sz w:val="32"/>
          <w:szCs w:val="32"/>
          <w:highlight w:val="none"/>
        </w:rPr>
        <w:t>2.80</w:t>
      </w:r>
      <w:r>
        <w:rPr>
          <w:rStyle w:val="12"/>
          <w:rFonts w:ascii="仿宋" w:hAnsi="仿宋" w:eastAsia="仿宋" w:cs="仿宋"/>
          <w:sz w:val="32"/>
          <w:szCs w:val="32"/>
          <w:highlight w:val="none"/>
        </w:rPr>
        <w:t>＞当</w:t>
      </w:r>
      <w:r>
        <w:rPr>
          <w:rFonts w:ascii="仿宋" w:hAnsi="仿宋" w:eastAsia="仿宋" w:cs="仿宋"/>
          <w:sz w:val="32"/>
          <w:szCs w:val="32"/>
          <w:highlight w:val="none"/>
        </w:rPr>
        <w:t>周期考核得分≥70，交易中心本周期应对供应商进行相应扣款，则本周期的最终结算公式如下；本周期最终结算金额=本周期预结算金额×90%。</w:t>
      </w:r>
    </w:p>
    <w:p>
      <w:pPr>
        <w:shd w:val="clear"/>
        <w:spacing w:line="555" w:lineRule="atLeast"/>
        <w:ind w:firstLine="645"/>
        <w:rPr>
          <w:highlight w:val="none"/>
        </w:rPr>
      </w:pPr>
      <w:r>
        <w:rPr>
          <w:rFonts w:ascii="仿宋" w:hAnsi="仿宋" w:eastAsia="仿宋" w:cs="仿宋"/>
          <w:sz w:val="32"/>
          <w:szCs w:val="32"/>
          <w:highlight w:val="none"/>
        </w:rPr>
        <w:t>3.70</w:t>
      </w:r>
      <w:r>
        <w:rPr>
          <w:rStyle w:val="12"/>
          <w:rFonts w:ascii="仿宋" w:hAnsi="仿宋" w:eastAsia="仿宋" w:cs="仿宋"/>
          <w:sz w:val="32"/>
          <w:szCs w:val="32"/>
          <w:highlight w:val="none"/>
        </w:rPr>
        <w:t>＞当</w:t>
      </w:r>
      <w:r>
        <w:rPr>
          <w:rFonts w:ascii="仿宋" w:hAnsi="仿宋" w:eastAsia="仿宋" w:cs="仿宋"/>
          <w:sz w:val="32"/>
          <w:szCs w:val="32"/>
          <w:highlight w:val="none"/>
        </w:rPr>
        <w:t>周期考核得分≥60，交易中心本周期应对供应商进行相应扣款，则本周期的最终结算公式如下；本周期最终结算金额=本周</w:t>
      </w:r>
      <w:r>
        <w:rPr>
          <w:rStyle w:val="12"/>
          <w:rFonts w:ascii="仿宋" w:hAnsi="仿宋" w:eastAsia="仿宋" w:cs="仿宋"/>
          <w:sz w:val="32"/>
          <w:szCs w:val="32"/>
          <w:highlight w:val="none"/>
        </w:rPr>
        <w:t>期预</w:t>
      </w:r>
      <w:r>
        <w:rPr>
          <w:rFonts w:ascii="仿宋" w:hAnsi="仿宋" w:eastAsia="仿宋" w:cs="仿宋"/>
          <w:sz w:val="32"/>
          <w:szCs w:val="32"/>
          <w:highlight w:val="none"/>
        </w:rPr>
        <w:t>结算金额×80%。</w:t>
      </w:r>
    </w:p>
    <w:p>
      <w:pPr>
        <w:shd w:val="clear"/>
        <w:spacing w:line="555" w:lineRule="atLeast"/>
        <w:ind w:firstLine="645"/>
        <w:rPr>
          <w:highlight w:val="none"/>
        </w:rPr>
      </w:pPr>
      <w:r>
        <w:rPr>
          <w:rFonts w:ascii="仿宋" w:hAnsi="仿宋" w:eastAsia="仿宋" w:cs="仿宋"/>
          <w:sz w:val="32"/>
          <w:szCs w:val="32"/>
          <w:highlight w:val="none"/>
        </w:rPr>
        <w:t>4.60</w:t>
      </w:r>
      <w:r>
        <w:rPr>
          <w:rStyle w:val="12"/>
          <w:rFonts w:ascii="仿宋" w:hAnsi="仿宋" w:eastAsia="仿宋" w:cs="仿宋"/>
          <w:sz w:val="32"/>
          <w:szCs w:val="32"/>
          <w:highlight w:val="none"/>
        </w:rPr>
        <w:t>＞当</w:t>
      </w:r>
      <w:r>
        <w:rPr>
          <w:rFonts w:ascii="仿宋" w:hAnsi="仿宋" w:eastAsia="仿宋" w:cs="仿宋"/>
          <w:sz w:val="32"/>
          <w:szCs w:val="32"/>
          <w:highlight w:val="none"/>
        </w:rPr>
        <w:t>周期考核得分≥50，交易中心本周期应对供应商进行相应扣款，则本周期的最终结算公式如下；本周期最终结算金额=本周期预结算金额×75%。</w:t>
      </w:r>
    </w:p>
    <w:p>
      <w:pPr>
        <w:shd w:val="clear"/>
        <w:spacing w:line="555" w:lineRule="atLeast"/>
        <w:ind w:firstLine="645"/>
        <w:rPr>
          <w:highlight w:val="none"/>
        </w:rPr>
      </w:pPr>
      <w:r>
        <w:rPr>
          <w:rFonts w:ascii="仿宋" w:hAnsi="仿宋" w:eastAsia="仿宋" w:cs="仿宋"/>
          <w:sz w:val="32"/>
          <w:szCs w:val="32"/>
          <w:highlight w:val="none"/>
        </w:rPr>
        <w:t>5.当周期考核得分＜50，交易中心本周期应扣除全部服务款项。</w:t>
      </w:r>
    </w:p>
    <w:p>
      <w:pPr>
        <w:shd w:val="clear"/>
        <w:spacing w:line="555" w:lineRule="atLeast"/>
        <w:ind w:left="375" w:firstLine="0"/>
        <w:rPr>
          <w:highlight w:val="none"/>
        </w:rPr>
      </w:pPr>
      <w:r>
        <w:rPr>
          <w:rFonts w:ascii="Calibri" w:hAnsi="Calibri" w:eastAsia="Calibri" w:cs="Calibri"/>
          <w:sz w:val="29"/>
          <w:szCs w:val="29"/>
          <w:highlight w:val="none"/>
        </w:rPr>
        <w:t> </w:t>
      </w:r>
    </w:p>
    <w:p>
      <w:pPr>
        <w:shd w:val="clear"/>
        <w:spacing w:line="555" w:lineRule="atLeast"/>
        <w:rPr>
          <w:highlight w:val="none"/>
        </w:rPr>
      </w:pPr>
      <w:r>
        <w:rPr>
          <w:rFonts w:ascii="Calibri" w:hAnsi="Calibri" w:eastAsia="Calibri" w:cs="Calibri"/>
          <w:sz w:val="21"/>
          <w:szCs w:val="21"/>
          <w:highlight w:val="none"/>
        </w:rPr>
        <w:t> </w:t>
      </w:r>
    </w:p>
    <w:p>
      <w:pPr>
        <w:shd w:val="clear"/>
        <w:rPr>
          <w:highlight w:val="none"/>
        </w:rPr>
      </w:pPr>
    </w:p>
    <w:sectPr>
      <w:pgSz w:w="12240" w:h="15840"/>
      <w:pgMar w:top="1440" w:right="1800" w:bottom="1440" w:left="1800"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0"/>
  <w:noPunctuationKerning w:val="1"/>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VhODQ5ZGRkNDhlOTkwMmFkY2IxMDQ2NTYyYmQwMzkifQ=="/>
  </w:docVars>
  <w:rsids>
    <w:rsidRoot w:val="00A77B3E"/>
    <w:rsid w:val="00A77B3E"/>
    <w:rsid w:val="00CA2A55"/>
    <w:rsid w:val="07A342B2"/>
    <w:rsid w:val="2D44214D"/>
    <w:rsid w:val="3B4E7A8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US" w:eastAsia="en-US" w:bidi="ar-SA"/>
    </w:rPr>
  </w:style>
  <w:style w:type="paragraph" w:styleId="2">
    <w:name w:val="heading 2"/>
    <w:basedOn w:val="1"/>
    <w:next w:val="1"/>
    <w:qFormat/>
    <w:uiPriority w:val="0"/>
    <w:pPr>
      <w:keepNext/>
      <w:spacing w:before="240" w:after="60"/>
      <w:outlineLvl w:val="1"/>
    </w:pPr>
    <w:rPr>
      <w:rFonts w:ascii="Arial" w:hAnsi="Arial" w:cs="Arial"/>
      <w:b/>
      <w:bCs/>
      <w:i/>
      <w:iCs/>
      <w:sz w:val="28"/>
      <w:szCs w:val="28"/>
    </w:rPr>
  </w:style>
  <w:style w:type="paragraph" w:styleId="3">
    <w:name w:val="heading 3"/>
    <w:basedOn w:val="1"/>
    <w:next w:val="1"/>
    <w:qFormat/>
    <w:uiPriority w:val="0"/>
    <w:pPr>
      <w:keepNext/>
      <w:spacing w:before="240" w:after="60"/>
      <w:outlineLvl w:val="2"/>
    </w:pPr>
    <w:rPr>
      <w:rFonts w:ascii="Arial" w:hAnsi="Arial" w:cs="Arial"/>
      <w:b/>
      <w:bCs/>
      <w:sz w:val="26"/>
      <w:szCs w:val="26"/>
    </w:rPr>
  </w:style>
  <w:style w:type="paragraph" w:styleId="4">
    <w:name w:val="heading 4"/>
    <w:basedOn w:val="1"/>
    <w:next w:val="1"/>
    <w:qFormat/>
    <w:uiPriority w:val="0"/>
    <w:pPr>
      <w:keepNext/>
      <w:spacing w:before="240" w:after="60"/>
      <w:outlineLvl w:val="3"/>
    </w:pPr>
    <w:rPr>
      <w:b/>
      <w:bCs/>
      <w:sz w:val="28"/>
      <w:szCs w:val="28"/>
    </w:rPr>
  </w:style>
  <w:style w:type="character" w:default="1" w:styleId="7">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8">
    <w:name w:val="data-span-error0"/>
    <w:basedOn w:val="7"/>
    <w:qFormat/>
    <w:uiPriority w:val="0"/>
  </w:style>
  <w:style w:type="character" w:customStyle="1" w:styleId="9">
    <w:name w:val="data-span-error1"/>
    <w:basedOn w:val="7"/>
    <w:qFormat/>
    <w:uiPriority w:val="0"/>
  </w:style>
  <w:style w:type="character" w:customStyle="1" w:styleId="10">
    <w:name w:val="data-span-error2"/>
    <w:basedOn w:val="7"/>
    <w:qFormat/>
    <w:uiPriority w:val="0"/>
  </w:style>
  <w:style w:type="character" w:customStyle="1" w:styleId="11">
    <w:name w:val="errorword correctable dubious data-span-dubious0"/>
    <w:basedOn w:val="7"/>
    <w:qFormat/>
    <w:uiPriority w:val="0"/>
  </w:style>
  <w:style w:type="character" w:customStyle="1" w:styleId="12">
    <w:name w:val="word"/>
    <w:basedOn w:val="7"/>
    <w:qFormat/>
    <w:uiPriority w:val="0"/>
  </w:style>
  <w:style w:type="character" w:customStyle="1" w:styleId="13">
    <w:name w:val="data-span-error3"/>
    <w:basedOn w:val="7"/>
    <w:qFormat/>
    <w:uiPriority w:val="0"/>
  </w:style>
  <w:style w:type="character" w:customStyle="1" w:styleId="14">
    <w:name w:val="data-span-error4"/>
    <w:basedOn w:val="7"/>
    <w:qFormat/>
    <w:uiPriority w:val="0"/>
  </w:style>
  <w:style w:type="character" w:customStyle="1" w:styleId="15">
    <w:name w:val="errorword correctable dubious data-span-dubious1"/>
    <w:basedOn w:val="7"/>
    <w:qFormat/>
    <w:uiPriority w:val="0"/>
  </w:style>
  <w:style w:type="character" w:customStyle="1" w:styleId="16">
    <w:name w:val="data-span-error5"/>
    <w:basedOn w:val="7"/>
    <w:qFormat/>
    <w:uiPriority w:val="0"/>
  </w:style>
  <w:style w:type="character" w:customStyle="1" w:styleId="17">
    <w:name w:val="errorword correctable dubious data-span-dubious2"/>
    <w:basedOn w:val="7"/>
    <w:qFormat/>
    <w:uiPriority w:val="0"/>
  </w:style>
  <w:style w:type="character" w:customStyle="1" w:styleId="18">
    <w:name w:val="data-span-error6"/>
    <w:basedOn w:val="7"/>
    <w:qFormat/>
    <w:uiPriority w:val="0"/>
  </w:style>
  <w:style w:type="character" w:customStyle="1" w:styleId="19">
    <w:name w:val="errorword correctable dubious data-span-dubious3"/>
    <w:basedOn w:val="7"/>
    <w:qFormat/>
    <w:uiPriority w:val="0"/>
  </w:style>
  <w:style w:type="character" w:customStyle="1" w:styleId="20">
    <w:name w:val="data-span-seriousError0"/>
    <w:basedOn w:val="7"/>
    <w:qFormat/>
    <w:uiPriority w:val="0"/>
  </w:style>
  <w:style w:type="character" w:customStyle="1" w:styleId="21">
    <w:name w:val="data-span-error7"/>
    <w:basedOn w:val="7"/>
    <w:qFormat/>
    <w:uiPriority w:val="0"/>
  </w:style>
  <w:style w:type="character" w:customStyle="1" w:styleId="22">
    <w:name w:val="errorword correctable dubious data-span-dubious4"/>
    <w:basedOn w:val="7"/>
    <w:autoRedefine/>
    <w:qFormat/>
    <w:uiPriority w:val="0"/>
  </w:style>
  <w:style w:type="character" w:customStyle="1" w:styleId="23">
    <w:name w:val="errorword correctable dubious data-span-dubious5"/>
    <w:basedOn w:val="7"/>
    <w:autoRedefine/>
    <w:qFormat/>
    <w:uiPriority w:val="0"/>
  </w:style>
  <w:style w:type="character" w:customStyle="1" w:styleId="24">
    <w:name w:val="data-span-seriousError1"/>
    <w:basedOn w:val="7"/>
    <w:qFormat/>
    <w:uiPriority w:val="0"/>
  </w:style>
  <w:style w:type="character" w:customStyle="1" w:styleId="25">
    <w:name w:val="errorword correctable dubious data-span-dubious6"/>
    <w:basedOn w:val="7"/>
    <w:qFormat/>
    <w:uiPriority w:val="0"/>
  </w:style>
  <w:style w:type="character" w:customStyle="1" w:styleId="26">
    <w:name w:val="data-span-error8"/>
    <w:basedOn w:val="7"/>
    <w:autoRedefine/>
    <w:qFormat/>
    <w:uiPriority w:val="0"/>
  </w:style>
  <w:style w:type="character" w:customStyle="1" w:styleId="27">
    <w:name w:val="errorword correctable dubious data-span-dubious8"/>
    <w:basedOn w:val="7"/>
    <w:qFormat/>
    <w:uiPriority w:val="0"/>
  </w:style>
  <w:style w:type="character" w:customStyle="1" w:styleId="28">
    <w:name w:val="errorword correctable dubious data-span-dubious10"/>
    <w:basedOn w:val="7"/>
    <w:autoRedefine/>
    <w:qFormat/>
    <w:uiPriority w:val="0"/>
  </w:style>
  <w:style w:type="character" w:customStyle="1" w:styleId="29">
    <w:name w:val="errorword correctable dubious data-span-dubious11"/>
    <w:basedOn w:val="7"/>
    <w:qFormat/>
    <w:uiPriority w:val="0"/>
  </w:style>
  <w:style w:type="character" w:customStyle="1" w:styleId="30">
    <w:name w:val="errorword correctable dubious data-span-dubious12"/>
    <w:basedOn w:val="7"/>
    <w:autoRedefine/>
    <w:qFormat/>
    <w:uiPriority w:val="0"/>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Template>
  <Pages>16</Pages>
  <Words>6206</Words>
  <Characters>6341</Characters>
  <Lines>1</Lines>
  <Paragraphs>1</Paragraphs>
  <TotalTime>53</TotalTime>
  <ScaleCrop>false</ScaleCrop>
  <LinksUpToDate>false</LinksUpToDate>
  <CharactersWithSpaces>6372</CharactersWithSpaces>
  <Application>WPS Office_12.1.0.16250_F1E327BC-269C-435d-A152-05C5408002CA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2026-06-25T06:25:00Z</dcterms:created>
  <dc:creator>PCD-250901</dc:creator>
  <cp:lastModifiedBy>SHU</cp:lastModifiedBy>
  <cp:lastPrinted>2026-06-25T07:05:00Z</cp:lastPrinted>
  <dcterms:modified xsi:type="dcterms:W3CDTF">2026-06-25T09:16:53Z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eyJoZGlkIjoiMjczNGZkYjg1ZTk3NzUyZDU0MzUyN2VhMzlmNzFjYTQiLCJ1c2VySWQiOiI0NDM0NjE3MjcifQ==</vt:lpwstr>
  </property>
  <property fmtid="{D5CDD505-2E9C-101B-9397-08002B2CF9AE}" pid="3" name="KSOProductBuildVer">
    <vt:lpwstr>2052-12.1.0.16250</vt:lpwstr>
  </property>
  <property fmtid="{D5CDD505-2E9C-101B-9397-08002B2CF9AE}" pid="4" name="ICV">
    <vt:lpwstr>F3BE49848ECE42D7A6AC8FAAA7181F59_13</vt:lpwstr>
  </property>
</Properties>
</file>