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640"/>
        <w:rPr>
          <w:rFonts w:ascii="方正小标宋简体" w:hAnsi="方正小标宋简体" w:eastAsia="方正小标宋简体"/>
          <w:color w:val="auto"/>
          <w:sz w:val="44"/>
          <w:szCs w:val="44"/>
          <w:u w:val="none"/>
        </w:rPr>
      </w:pPr>
      <w:r>
        <w:rPr>
          <w:rFonts w:ascii="方正小标宋简体" w:hAnsi="方正小标宋简体" w:eastAsia="方正小标宋简体"/>
          <w:color w:val="auto"/>
          <w:sz w:val="44"/>
          <w:szCs w:val="44"/>
          <w:u w:val="none"/>
        </w:rPr>
        <w:t>闽侯县自然资源和规划局关于20</w:t>
      </w:r>
      <w:r>
        <w:rPr>
          <w:rFonts w:hint="eastAsia" w:ascii="方正小标宋简体" w:hAnsi="方正小标宋简体" w:eastAsia="方正小标宋简体"/>
          <w:color w:val="auto"/>
          <w:sz w:val="44"/>
          <w:szCs w:val="44"/>
          <w:u w:val="none"/>
        </w:rPr>
        <w:t>2</w:t>
      </w:r>
      <w:r>
        <w:rPr>
          <w:rFonts w:hint="eastAsia" w:ascii="方正小标宋简体" w:hAnsi="方正小标宋简体" w:eastAsia="方正小标宋简体"/>
          <w:color w:val="auto"/>
          <w:sz w:val="44"/>
          <w:szCs w:val="44"/>
          <w:u w:val="none"/>
          <w:lang w:val="en-US" w:eastAsia="zh-CN"/>
        </w:rPr>
        <w:t>1</w:t>
      </w:r>
      <w:r>
        <w:rPr>
          <w:rFonts w:ascii="方正小标宋简体" w:hAnsi="方正小标宋简体" w:eastAsia="方正小标宋简体"/>
          <w:color w:val="auto"/>
          <w:sz w:val="44"/>
          <w:szCs w:val="44"/>
          <w:u w:val="none"/>
        </w:rPr>
        <w:t>年第</w:t>
      </w:r>
      <w:r>
        <w:rPr>
          <w:rFonts w:hint="eastAsia" w:ascii="方正小标宋简体" w:hAnsi="方正小标宋简体" w:eastAsia="方正小标宋简体"/>
          <w:color w:val="auto"/>
          <w:sz w:val="44"/>
          <w:szCs w:val="44"/>
          <w:u w:val="none"/>
          <w:lang w:eastAsia="zh-CN"/>
        </w:rPr>
        <w:t>二</w:t>
      </w:r>
      <w:r>
        <w:rPr>
          <w:rFonts w:ascii="方正小标宋简体" w:hAnsi="方正小标宋简体" w:eastAsia="方正小标宋简体"/>
          <w:color w:val="auto"/>
          <w:sz w:val="44"/>
          <w:szCs w:val="44"/>
          <w:u w:val="none"/>
        </w:rPr>
        <w:t>次</w:t>
      </w:r>
    </w:p>
    <w:p>
      <w:pPr>
        <w:spacing w:line="500" w:lineRule="exact"/>
        <w:jc w:val="center"/>
        <w:rPr>
          <w:rFonts w:ascii="方正小标宋简体" w:hAnsi="方正小标宋简体" w:eastAsia="方正小标宋简体"/>
          <w:color w:val="auto"/>
          <w:sz w:val="44"/>
          <w:szCs w:val="44"/>
          <w:u w:val="none"/>
        </w:rPr>
      </w:pPr>
      <w:r>
        <w:rPr>
          <w:rFonts w:ascii="方正小标宋简体" w:hAnsi="方正小标宋简体" w:eastAsia="方正小标宋简体"/>
          <w:color w:val="auto"/>
          <w:sz w:val="44"/>
          <w:szCs w:val="44"/>
          <w:u w:val="none"/>
        </w:rPr>
        <w:t>公开出让国有建设用地使用权的公告</w:t>
      </w:r>
    </w:p>
    <w:p>
      <w:pPr>
        <w:spacing w:line="500" w:lineRule="exact"/>
        <w:jc w:val="center"/>
        <w:rPr>
          <w:rFonts w:ascii="仿宋_GB2312" w:hAnsi="仿宋_GB2312" w:eastAsia="仿宋_GB2312"/>
          <w:color w:val="auto"/>
          <w:sz w:val="28"/>
          <w:szCs w:val="28"/>
          <w:u w:val="none"/>
          <w:shd w:val="clear" w:color="FFFFFF" w:fill="D9D9D9"/>
        </w:rPr>
      </w:pPr>
    </w:p>
    <w:p>
      <w:pPr>
        <w:keepNext w:val="0"/>
        <w:keepLines w:val="0"/>
        <w:pageBreakBefore w:val="0"/>
        <w:widowControl/>
        <w:kinsoku/>
        <w:wordWrap/>
        <w:overflowPunct/>
        <w:topLinePunct w:val="0"/>
        <w:autoSpaceDE/>
        <w:autoSpaceDN/>
        <w:bidi w:val="0"/>
        <w:adjustRightInd/>
        <w:snapToGrid/>
        <w:spacing w:line="440" w:lineRule="exact"/>
        <w:ind w:left="17" w:firstLine="560" w:firstLineChars="200"/>
        <w:textAlignment w:val="auto"/>
        <w:rPr>
          <w:rFonts w:ascii="仿宋_GB2312" w:hAnsi="仿宋_GB2312" w:eastAsia="仿宋_GB2312"/>
          <w:color w:val="auto"/>
          <w:sz w:val="28"/>
          <w:szCs w:val="28"/>
          <w:u w:val="none"/>
        </w:rPr>
      </w:pPr>
      <w:r>
        <w:rPr>
          <w:rFonts w:ascii="仿宋_GB2312" w:hAnsi="仿宋_GB2312" w:eastAsia="仿宋_GB2312"/>
          <w:color w:val="auto"/>
          <w:sz w:val="28"/>
          <w:szCs w:val="28"/>
          <w:u w:val="none"/>
        </w:rPr>
        <w:t>根据国有建设用地使用权公开出让有关规定，经闽侯县人民政府批准，闽侯县自然资源和规划局决定公开出</w:t>
      </w:r>
      <w:r>
        <w:rPr>
          <w:rFonts w:hint="eastAsia" w:ascii="仿宋_GB2312" w:hAnsi="仿宋_GB2312" w:eastAsia="仿宋_GB2312"/>
          <w:color w:val="auto"/>
          <w:sz w:val="28"/>
          <w:szCs w:val="28"/>
          <w:u w:val="none"/>
        </w:rPr>
        <w:t>让</w:t>
      </w:r>
      <w:r>
        <w:rPr>
          <w:rFonts w:hint="eastAsia" w:ascii="仿宋_GB2312" w:hAnsi="仿宋_GB2312" w:eastAsia="仿宋_GB2312"/>
          <w:color w:val="auto"/>
          <w:sz w:val="28"/>
          <w:szCs w:val="28"/>
          <w:u w:val="none"/>
          <w:lang w:eastAsia="zh-CN"/>
        </w:rPr>
        <w:t>两</w:t>
      </w:r>
      <w:r>
        <w:rPr>
          <w:rFonts w:ascii="仿宋_GB2312" w:hAnsi="仿宋_GB2312" w:eastAsia="仿宋_GB2312"/>
          <w:color w:val="auto"/>
          <w:sz w:val="28"/>
          <w:szCs w:val="28"/>
          <w:u w:val="none"/>
        </w:rPr>
        <w:t>宗国有建设用地使用权。现将有关事项公告如下：</w:t>
      </w:r>
    </w:p>
    <w:p>
      <w:pPr>
        <w:numPr>
          <w:ilvl w:val="0"/>
          <w:numId w:val="1"/>
        </w:numPr>
        <w:spacing w:line="320" w:lineRule="exact"/>
        <w:ind w:left="594"/>
        <w:rPr>
          <w:rFonts w:ascii="黑体" w:hAnsi="黑体" w:eastAsia="黑体" w:cs="黑体"/>
          <w:color w:val="auto"/>
          <w:sz w:val="28"/>
          <w:szCs w:val="28"/>
          <w:u w:val="none"/>
        </w:rPr>
      </w:pPr>
      <w:r>
        <w:rPr>
          <w:rFonts w:hint="eastAsia" w:ascii="黑体" w:hAnsi="黑体" w:eastAsia="黑体" w:cs="黑体"/>
          <w:color w:val="auto"/>
          <w:sz w:val="28"/>
          <w:szCs w:val="28"/>
          <w:u w:val="none"/>
        </w:rPr>
        <w:t>地块基本情况</w:t>
      </w:r>
    </w:p>
    <w:tbl>
      <w:tblPr>
        <w:tblStyle w:val="4"/>
        <w:tblW w:w="151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7"/>
        <w:gridCol w:w="1442"/>
        <w:gridCol w:w="1365"/>
        <w:gridCol w:w="703"/>
        <w:gridCol w:w="1277"/>
        <w:gridCol w:w="1770"/>
        <w:gridCol w:w="1155"/>
        <w:gridCol w:w="1155"/>
        <w:gridCol w:w="1935"/>
        <w:gridCol w:w="1050"/>
        <w:gridCol w:w="93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4" w:hRule="atLeast"/>
          <w:jc w:val="center"/>
        </w:trPr>
        <w:tc>
          <w:tcPr>
            <w:tcW w:w="1347"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宗地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编号</w:t>
            </w:r>
          </w:p>
        </w:tc>
        <w:tc>
          <w:tcPr>
            <w:tcW w:w="1442"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位置</w:t>
            </w:r>
          </w:p>
        </w:tc>
        <w:tc>
          <w:tcPr>
            <w:tcW w:w="1365"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面积</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（m</w:t>
            </w:r>
            <w:r>
              <w:rPr>
                <w:rFonts w:hint="eastAsia" w:ascii="仿宋_GB2312" w:hAnsi="仿宋_GB2312" w:eastAsia="仿宋_GB2312" w:cs="仿宋_GB2312"/>
                <w:color w:val="auto"/>
                <w:sz w:val="24"/>
                <w:szCs w:val="24"/>
                <w:u w:val="none"/>
                <w:vertAlign w:val="superscript"/>
              </w:rPr>
              <w:t>2</w:t>
            </w:r>
            <w:r>
              <w:rPr>
                <w:rFonts w:hint="eastAsia" w:ascii="仿宋_GB2312" w:hAnsi="仿宋_GB2312" w:eastAsia="仿宋_GB2312" w:cs="仿宋_GB2312"/>
                <w:color w:val="auto"/>
                <w:sz w:val="24"/>
                <w:szCs w:val="24"/>
                <w:u w:val="none"/>
              </w:rPr>
              <w:t>）</w:t>
            </w:r>
          </w:p>
        </w:tc>
        <w:tc>
          <w:tcPr>
            <w:tcW w:w="703"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出让</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方式</w:t>
            </w:r>
          </w:p>
        </w:tc>
        <w:tc>
          <w:tcPr>
            <w:tcW w:w="1277"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ind w:right="1"/>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用途</w:t>
            </w:r>
          </w:p>
        </w:tc>
        <w:tc>
          <w:tcPr>
            <w:tcW w:w="6015" w:type="dxa"/>
            <w:gridSpan w:val="4"/>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主要规划指标要求</w:t>
            </w:r>
          </w:p>
        </w:tc>
        <w:tc>
          <w:tcPr>
            <w:tcW w:w="1050"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土地使用权出让年限</w:t>
            </w:r>
          </w:p>
        </w:tc>
        <w:tc>
          <w:tcPr>
            <w:tcW w:w="930"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ind w:left="22" w:right="-131" w:hanging="140"/>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竞买保</w:t>
            </w:r>
          </w:p>
          <w:p>
            <w:pPr>
              <w:keepNext w:val="0"/>
              <w:keepLines w:val="0"/>
              <w:pageBreakBefore w:val="0"/>
              <w:widowControl/>
              <w:kinsoku/>
              <w:wordWrap/>
              <w:overflowPunct/>
              <w:topLinePunct w:val="0"/>
              <w:autoSpaceDE/>
              <w:autoSpaceDN/>
              <w:bidi w:val="0"/>
              <w:adjustRightInd/>
              <w:snapToGrid/>
              <w:spacing w:line="420" w:lineRule="exact"/>
              <w:ind w:left="22" w:right="-131" w:hanging="140"/>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证金</w:t>
            </w:r>
          </w:p>
          <w:p>
            <w:pPr>
              <w:keepNext w:val="0"/>
              <w:keepLines w:val="0"/>
              <w:pageBreakBefore w:val="0"/>
              <w:widowControl/>
              <w:kinsoku/>
              <w:wordWrap/>
              <w:overflowPunct/>
              <w:topLinePunct w:val="0"/>
              <w:autoSpaceDE/>
              <w:autoSpaceDN/>
              <w:bidi w:val="0"/>
              <w:adjustRightInd/>
              <w:snapToGrid/>
              <w:spacing w:line="420" w:lineRule="exact"/>
              <w:ind w:left="22" w:right="-131" w:hanging="140"/>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（万元）</w:t>
            </w:r>
          </w:p>
        </w:tc>
        <w:tc>
          <w:tcPr>
            <w:tcW w:w="1063"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起始价</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7" w:hRule="atLeast"/>
          <w:jc w:val="center"/>
        </w:trPr>
        <w:tc>
          <w:tcPr>
            <w:tcW w:w="134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442"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36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70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27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77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容积率</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密度</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ind w:right="-67"/>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绿地率</w:t>
            </w:r>
          </w:p>
        </w:tc>
        <w:tc>
          <w:tcPr>
            <w:tcW w:w="1935" w:type="dxa"/>
            <w:vAlign w:val="center"/>
          </w:tcPr>
          <w:p>
            <w:pPr>
              <w:keepNext w:val="0"/>
              <w:keepLines w:val="0"/>
              <w:pageBreakBefore w:val="0"/>
              <w:widowControl/>
              <w:kinsoku/>
              <w:wordWrap/>
              <w:overflowPunct/>
              <w:topLinePunct w:val="0"/>
              <w:autoSpaceDE/>
              <w:autoSpaceDN/>
              <w:bidi w:val="0"/>
              <w:adjustRightInd/>
              <w:snapToGrid/>
              <w:spacing w:line="420" w:lineRule="exact"/>
              <w:ind w:right="-67"/>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建筑限高（米）</w:t>
            </w:r>
          </w:p>
        </w:tc>
        <w:tc>
          <w:tcPr>
            <w:tcW w:w="1050"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930"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06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jc w:val="center"/>
        </w:trPr>
        <w:tc>
          <w:tcPr>
            <w:tcW w:w="134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202</w:t>
            </w:r>
            <w:r>
              <w:rPr>
                <w:rFonts w:hint="eastAsia" w:ascii="仿宋_GB2312" w:hAnsi="仿宋_GB2312" w:eastAsia="仿宋_GB2312" w:cs="仿宋_GB2312"/>
                <w:color w:val="auto"/>
                <w:sz w:val="22"/>
                <w:szCs w:val="22"/>
                <w:u w:val="none"/>
                <w:lang w:val="en-US" w:eastAsia="zh-CN"/>
              </w:rPr>
              <w:t>1</w:t>
            </w:r>
            <w:r>
              <w:rPr>
                <w:rFonts w:hint="eastAsia" w:ascii="仿宋_GB2312" w:hAnsi="仿宋_GB2312" w:eastAsia="仿宋_GB2312" w:cs="仿宋_GB2312"/>
                <w:color w:val="auto"/>
                <w:sz w:val="22"/>
                <w:szCs w:val="22"/>
                <w:u w:val="none"/>
              </w:rPr>
              <w:t>-</w:t>
            </w:r>
            <w:r>
              <w:rPr>
                <w:rFonts w:hint="eastAsia" w:ascii="仿宋_GB2312" w:hAnsi="仿宋_GB2312" w:eastAsia="仿宋_GB2312" w:cs="仿宋_GB2312"/>
                <w:color w:val="auto"/>
                <w:sz w:val="22"/>
                <w:szCs w:val="22"/>
                <w:u w:val="none"/>
                <w:lang w:val="en-US" w:eastAsia="zh-CN"/>
              </w:rPr>
              <w:t>03</w:t>
            </w:r>
            <w:r>
              <w:rPr>
                <w:rFonts w:hint="eastAsia" w:ascii="仿宋_GB2312" w:hAnsi="仿宋_GB2312" w:eastAsia="仿宋_GB2312" w:cs="仿宋_GB2312"/>
                <w:color w:val="auto"/>
                <w:sz w:val="22"/>
                <w:szCs w:val="22"/>
                <w:u w:val="none"/>
              </w:rPr>
              <w:t>号</w:t>
            </w:r>
          </w:p>
        </w:tc>
        <w:tc>
          <w:tcPr>
            <w:tcW w:w="1442"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lang w:val="en-US" w:eastAsia="zh-CN"/>
              </w:rPr>
              <w:t>上街镇上街社区</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vertAlign w:val="superscript"/>
                <w:lang w:val="en-US" w:eastAsia="zh-CN"/>
              </w:rPr>
            </w:pPr>
            <w:r>
              <w:rPr>
                <w:rFonts w:hint="eastAsia" w:ascii="仿宋_GB2312" w:hAnsi="仿宋_GB2312" w:eastAsia="仿宋_GB2312" w:cs="仿宋_GB2312"/>
                <w:color w:val="auto"/>
                <w:sz w:val="22"/>
                <w:szCs w:val="22"/>
                <w:u w:val="none"/>
                <w:lang w:val="en-US" w:eastAsia="zh-CN"/>
              </w:rPr>
              <w:t>60028m</w:t>
            </w:r>
            <w:r>
              <w:rPr>
                <w:rFonts w:hint="eastAsia" w:ascii="仿宋_GB2312" w:hAnsi="仿宋_GB2312" w:eastAsia="仿宋_GB2312" w:cs="仿宋_GB2312"/>
                <w:color w:val="auto"/>
                <w:sz w:val="22"/>
                <w:szCs w:val="22"/>
                <w:u w:val="none"/>
                <w:vertAlign w:val="superscript"/>
                <w:lang w:val="en-US" w:eastAsia="zh-CN"/>
              </w:rPr>
              <w:t>2</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vertAlign w:val="superscript"/>
                <w:lang w:val="en-US" w:eastAsia="zh-CN"/>
              </w:rPr>
            </w:pPr>
            <w:r>
              <w:rPr>
                <w:rFonts w:hint="eastAsia" w:ascii="仿宋_GB2312" w:hAnsi="仿宋_GB2312" w:eastAsia="仿宋_GB2312" w:cs="仿宋_GB2312"/>
                <w:color w:val="auto"/>
                <w:sz w:val="22"/>
                <w:szCs w:val="22"/>
                <w:u w:val="none"/>
                <w:lang w:val="en-US" w:eastAsia="zh-CN"/>
              </w:rPr>
              <w:t>(90.04亩)</w:t>
            </w:r>
          </w:p>
        </w:tc>
        <w:tc>
          <w:tcPr>
            <w:tcW w:w="70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拍卖</w:t>
            </w:r>
          </w:p>
        </w:tc>
        <w:tc>
          <w:tcPr>
            <w:tcW w:w="127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商住用地（R2、B1）</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lang w:val="en-US" w:eastAsia="zh-CN"/>
              </w:rPr>
              <w:t>1</w:t>
            </w:r>
            <w:r>
              <w:rPr>
                <w:rFonts w:hint="eastAsia" w:ascii="仿宋_GB2312" w:hAnsi="仿宋_GB2312" w:eastAsia="仿宋_GB2312" w:cs="仿宋_GB2312"/>
                <w:color w:val="auto"/>
                <w:sz w:val="22"/>
                <w:szCs w:val="22"/>
                <w:u w:val="none"/>
              </w:rPr>
              <w:t>.0＜FAR≤2.</w:t>
            </w:r>
            <w:r>
              <w:rPr>
                <w:rFonts w:hint="eastAsia" w:ascii="仿宋_GB2312" w:hAnsi="仿宋_GB2312" w:eastAsia="仿宋_GB2312" w:cs="仿宋_GB2312"/>
                <w:color w:val="auto"/>
                <w:sz w:val="22"/>
                <w:szCs w:val="22"/>
                <w:u w:val="none"/>
                <w:lang w:val="en-US" w:eastAsia="zh-CN"/>
              </w:rPr>
              <w:t>2</w:t>
            </w:r>
            <w:r>
              <w:rPr>
                <w:rFonts w:hint="eastAsia" w:ascii="仿宋_GB2312" w:hAnsi="仿宋_GB2312" w:eastAsia="仿宋_GB2312" w:cs="仿宋_GB2312"/>
                <w:color w:val="auto"/>
                <w:sz w:val="22"/>
                <w:szCs w:val="22"/>
                <w:u w:val="none"/>
              </w:rPr>
              <w:t>3</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rPr>
              <w:t>D≤30%</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GAR≥35%</w:t>
            </w:r>
          </w:p>
        </w:tc>
        <w:tc>
          <w:tcPr>
            <w:tcW w:w="193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21米＜H≤80米，其中南地块建筑高度应≤60米</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lang w:eastAsia="zh-CN"/>
              </w:rPr>
            </w:pPr>
            <w:r>
              <w:rPr>
                <w:rFonts w:hint="eastAsia" w:ascii="仿宋_GB2312" w:hAnsi="仿宋_GB2312" w:eastAsia="仿宋_GB2312" w:cs="仿宋_GB2312"/>
                <w:color w:val="auto"/>
                <w:sz w:val="22"/>
                <w:szCs w:val="22"/>
                <w:u w:val="none"/>
                <w:lang w:eastAsia="zh-CN"/>
              </w:rPr>
              <w:t>居住</w:t>
            </w:r>
            <w:r>
              <w:rPr>
                <w:rFonts w:hint="eastAsia" w:ascii="仿宋_GB2312" w:hAnsi="仿宋_GB2312" w:eastAsia="仿宋_GB2312" w:cs="仿宋_GB2312"/>
                <w:color w:val="auto"/>
                <w:sz w:val="22"/>
                <w:szCs w:val="22"/>
                <w:u w:val="none"/>
              </w:rPr>
              <w:t>用地70年、商服用地40年</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lang w:val="en-US" w:eastAsia="zh-CN"/>
              </w:rPr>
              <w:t>38000</w:t>
            </w:r>
          </w:p>
        </w:tc>
        <w:tc>
          <w:tcPr>
            <w:tcW w:w="1063" w:type="dxa"/>
            <w:vAlign w:val="center"/>
          </w:tcPr>
          <w:p>
            <w:pPr>
              <w:keepNext w:val="0"/>
              <w:keepLines w:val="0"/>
              <w:pageBreakBefore w:val="0"/>
              <w:widowControl/>
              <w:tabs>
                <w:tab w:val="left" w:pos="2440"/>
                <w:tab w:val="left" w:pos="2608"/>
              </w:tabs>
              <w:kinsoku/>
              <w:wordWrap/>
              <w:overflowPunct/>
              <w:topLinePunct w:val="0"/>
              <w:autoSpaceDE/>
              <w:autoSpaceDN/>
              <w:bidi w:val="0"/>
              <w:adjustRightInd/>
              <w:snapToGrid/>
              <w:spacing w:line="420" w:lineRule="exact"/>
              <w:jc w:val="center"/>
              <w:textAlignment w:val="auto"/>
              <w:outlineLvl w:val="9"/>
              <w:rPr>
                <w:rFonts w:hint="eastAsia" w:ascii="仿宋_GB2312" w:eastAsia="仿宋_GB2312"/>
                <w:color w:val="auto"/>
                <w:sz w:val="22"/>
                <w:szCs w:val="22"/>
                <w:u w:val="none"/>
                <w:lang w:val="en-US" w:eastAsia="zh-CN"/>
              </w:rPr>
            </w:pPr>
            <w:r>
              <w:rPr>
                <w:rFonts w:hint="eastAsia" w:ascii="仿宋_GB2312" w:eastAsia="仿宋_GB2312"/>
                <w:color w:val="auto"/>
                <w:sz w:val="22"/>
                <w:szCs w:val="22"/>
                <w:u w:val="none"/>
                <w:lang w:val="en-US" w:eastAsia="zh-CN"/>
              </w:rPr>
              <w:t>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jc w:val="center"/>
        </w:trPr>
        <w:tc>
          <w:tcPr>
            <w:tcW w:w="134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202</w:t>
            </w:r>
            <w:r>
              <w:rPr>
                <w:rFonts w:hint="eastAsia" w:ascii="仿宋_GB2312" w:hAnsi="仿宋_GB2312" w:eastAsia="仿宋_GB2312" w:cs="仿宋_GB2312"/>
                <w:color w:val="auto"/>
                <w:sz w:val="22"/>
                <w:szCs w:val="22"/>
                <w:u w:val="none"/>
                <w:lang w:val="en-US" w:eastAsia="zh-CN"/>
              </w:rPr>
              <w:t>1</w:t>
            </w:r>
            <w:r>
              <w:rPr>
                <w:rFonts w:hint="eastAsia" w:ascii="仿宋_GB2312" w:hAnsi="仿宋_GB2312" w:eastAsia="仿宋_GB2312" w:cs="仿宋_GB2312"/>
                <w:color w:val="auto"/>
                <w:sz w:val="22"/>
                <w:szCs w:val="22"/>
                <w:u w:val="none"/>
              </w:rPr>
              <w:t>-</w:t>
            </w:r>
            <w:r>
              <w:rPr>
                <w:rFonts w:hint="eastAsia" w:ascii="仿宋_GB2312" w:hAnsi="仿宋_GB2312" w:eastAsia="仿宋_GB2312" w:cs="仿宋_GB2312"/>
                <w:color w:val="auto"/>
                <w:sz w:val="22"/>
                <w:szCs w:val="22"/>
                <w:u w:val="none"/>
                <w:lang w:val="en-US" w:eastAsia="zh-CN"/>
              </w:rPr>
              <w:t>04</w:t>
            </w:r>
            <w:r>
              <w:rPr>
                <w:rFonts w:hint="eastAsia" w:ascii="仿宋_GB2312" w:hAnsi="仿宋_GB2312" w:eastAsia="仿宋_GB2312" w:cs="仿宋_GB2312"/>
                <w:color w:val="auto"/>
                <w:sz w:val="22"/>
                <w:szCs w:val="22"/>
                <w:u w:val="none"/>
              </w:rPr>
              <w:t>号</w:t>
            </w:r>
          </w:p>
        </w:tc>
        <w:tc>
          <w:tcPr>
            <w:tcW w:w="1442"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lang w:val="en-US" w:eastAsia="zh-CN"/>
              </w:rPr>
              <w:t>竹岐乡榕东村榕中村</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vertAlign w:val="superscript"/>
                <w:lang w:val="en-US" w:eastAsia="zh-CN"/>
              </w:rPr>
            </w:pPr>
            <w:r>
              <w:rPr>
                <w:rFonts w:hint="eastAsia" w:ascii="仿宋_GB2312" w:hAnsi="仿宋_GB2312" w:eastAsia="仿宋_GB2312" w:cs="仿宋_GB2312"/>
                <w:color w:val="auto"/>
                <w:sz w:val="22"/>
                <w:szCs w:val="22"/>
                <w:u w:val="none"/>
                <w:lang w:val="en-US" w:eastAsia="zh-CN"/>
              </w:rPr>
              <w:t>46429m</w:t>
            </w:r>
            <w:r>
              <w:rPr>
                <w:rFonts w:hint="eastAsia" w:ascii="仿宋_GB2312" w:hAnsi="仿宋_GB2312" w:eastAsia="仿宋_GB2312" w:cs="仿宋_GB2312"/>
                <w:color w:val="auto"/>
                <w:sz w:val="22"/>
                <w:szCs w:val="22"/>
                <w:u w:val="none"/>
                <w:vertAlign w:val="superscript"/>
                <w:lang w:val="en-US" w:eastAsia="zh-CN"/>
              </w:rPr>
              <w:t>2</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lang w:val="en-US" w:eastAsia="zh-CN"/>
              </w:rPr>
              <w:t>(69.64亩)</w:t>
            </w:r>
          </w:p>
        </w:tc>
        <w:tc>
          <w:tcPr>
            <w:tcW w:w="70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拍卖</w:t>
            </w:r>
          </w:p>
        </w:tc>
        <w:tc>
          <w:tcPr>
            <w:tcW w:w="127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商住用地（R2、B1）</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rPr>
              <w:t>2.0＜FAR≤2.3</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D≤30%</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GAR≥35%</w:t>
            </w:r>
          </w:p>
        </w:tc>
        <w:tc>
          <w:tcPr>
            <w:tcW w:w="193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21米＜H≤80米</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lang w:eastAsia="zh-CN"/>
              </w:rPr>
            </w:pPr>
            <w:r>
              <w:rPr>
                <w:rFonts w:hint="eastAsia" w:ascii="仿宋_GB2312" w:hAnsi="仿宋_GB2312" w:eastAsia="仿宋_GB2312" w:cs="仿宋_GB2312"/>
                <w:color w:val="auto"/>
                <w:sz w:val="22"/>
                <w:szCs w:val="22"/>
                <w:u w:val="none"/>
                <w:lang w:eastAsia="zh-CN"/>
              </w:rPr>
              <w:t>居住</w:t>
            </w:r>
            <w:r>
              <w:rPr>
                <w:rFonts w:hint="eastAsia" w:ascii="仿宋_GB2312" w:hAnsi="仿宋_GB2312" w:eastAsia="仿宋_GB2312" w:cs="仿宋_GB2312"/>
                <w:color w:val="auto"/>
                <w:sz w:val="22"/>
                <w:szCs w:val="22"/>
                <w:u w:val="none"/>
              </w:rPr>
              <w:t>用地70年、商服用地40年</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lang w:val="en-US" w:eastAsia="zh-CN"/>
              </w:rPr>
              <w:t>20000</w:t>
            </w:r>
          </w:p>
        </w:tc>
        <w:tc>
          <w:tcPr>
            <w:tcW w:w="1063" w:type="dxa"/>
            <w:vAlign w:val="center"/>
          </w:tcPr>
          <w:p>
            <w:pPr>
              <w:keepNext w:val="0"/>
              <w:keepLines w:val="0"/>
              <w:pageBreakBefore w:val="0"/>
              <w:widowControl/>
              <w:tabs>
                <w:tab w:val="left" w:pos="2440"/>
                <w:tab w:val="left" w:pos="2608"/>
              </w:tabs>
              <w:kinsoku/>
              <w:wordWrap/>
              <w:overflowPunct/>
              <w:topLinePunct w:val="0"/>
              <w:autoSpaceDE/>
              <w:autoSpaceDN/>
              <w:bidi w:val="0"/>
              <w:adjustRightInd/>
              <w:snapToGrid/>
              <w:spacing w:line="420" w:lineRule="exact"/>
              <w:jc w:val="center"/>
              <w:textAlignment w:val="auto"/>
              <w:outlineLvl w:val="9"/>
              <w:rPr>
                <w:rFonts w:hint="eastAsia" w:ascii="仿宋_GB2312" w:eastAsia="仿宋_GB2312"/>
                <w:color w:val="auto"/>
                <w:sz w:val="22"/>
                <w:szCs w:val="22"/>
                <w:u w:val="none"/>
                <w:lang w:val="en-US" w:eastAsia="zh-CN"/>
              </w:rPr>
            </w:pPr>
            <w:r>
              <w:rPr>
                <w:rFonts w:hint="eastAsia" w:ascii="仿宋_GB2312" w:eastAsia="仿宋_GB2312"/>
                <w:color w:val="auto"/>
                <w:sz w:val="22"/>
                <w:szCs w:val="22"/>
                <w:u w:val="none"/>
                <w:lang w:val="en-US" w:eastAsia="zh-CN"/>
              </w:rPr>
              <w:t>50000</w:t>
            </w:r>
          </w:p>
        </w:tc>
      </w:tr>
    </w:tbl>
    <w:p>
      <w:pPr>
        <w:keepNext w:val="0"/>
        <w:keepLines w:val="0"/>
        <w:pageBreakBefore w:val="0"/>
        <w:widowControl w:val="0"/>
        <w:numPr>
          <w:ilvl w:val="0"/>
          <w:numId w:val="2"/>
        </w:numPr>
        <w:tabs>
          <w:tab w:val="left" w:pos="11360"/>
        </w:tabs>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宗地2021-03号，实用地面积73.39亩（48927平方米），中部区间道路面积7.35亩（4899平方米，不计入技术经济指标），公共绿地面积9.3亩（6202平方米，不计入技术经济指标），具体面积以实测为准。本宗地建筑用地面积73.39亩（48927平方米），其中区间道路以南地块（以下简称南地块）建筑用地面积为38.65亩（25767平方米），区间道路以北地块（以下简称北地块）建筑用地面积为34.74亩（23160平方米），具体面积以实测为准。本宗地南地块计容建筑面积不大于51307平方米，其中计容商业建筑面积不大于1500平方米，北地块计容建筑面积不大于57800平方米，其中计容商业建筑面积不大于1500平方米，总计容公共服务设施面积不小于1980平方米。本宗地商业应沿地块中部区间规划道路集中布置。根据闽侯县住房和城乡建设局提供数据，本宗地商品住宅销售备案均价为18943元/平方米。本宗地沿西北侧侯官大道应退让20米城市公共绿化带，对外开放使用，不得设置实体围墙，具体设计方案应报闽侯县市政园林管护中心同意并经闽侯县政府审定后由受让人出资建设，公共绿化带建设标准不低于每平方米300元人民币，要求受让人在上报项目规划总平面设计方案时同时上报公共绿化带设计方案并先行施工建设。在办理本出让宗地不动产权证时该公共绿化带用地不予登记发证，若今后政府项目建设需要征用该公共绿化带用地及地上物不予赔偿。本宗地中部应按规划要求留出区间道路建设用地（长约150米，宽32米，具体以出让红线为准），区间道路由受让人负责出资，按城市次干路标准设计建设，建成后作为市政道路对外开放使用，不得围、堵，具体设计方案报闽侯县住房和城乡建设局同意并经闽侯县政府审定后由受让人实施。根据上街镇政府要求，由闽侯县国有资产营运管理服务中心按9421元/平方米予以回购本宗地产权建筑面积约3000平方米商业用房，应沿地块中部区间规划道路两侧集中布置，回购房产从项目交地之日起33个月内（33个日历月）竣工验收合格后交付给闽侯县国有资产营运管理服务中心。</w:t>
      </w:r>
    </w:p>
    <w:p>
      <w:pPr>
        <w:keepNext w:val="0"/>
        <w:keepLines w:val="0"/>
        <w:pageBreakBefore w:val="0"/>
        <w:widowControl w:val="0"/>
        <w:numPr>
          <w:ilvl w:val="0"/>
          <w:numId w:val="2"/>
        </w:numPr>
        <w:tabs>
          <w:tab w:val="left" w:pos="11360"/>
        </w:tabs>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eastAsia="仿宋_GB2312"/>
          <w:color w:val="auto"/>
          <w:sz w:val="28"/>
          <w:szCs w:val="28"/>
          <w:u w:val="none"/>
          <w:lang w:val="en-US" w:eastAsia="zh-CN"/>
        </w:rPr>
      </w:pPr>
      <w:r>
        <w:rPr>
          <w:color w:val="auto"/>
          <w:sz w:val="28"/>
          <w:u w:val="none"/>
        </w:rPr>
        <mc:AlternateContent>
          <mc:Choice Requires="wps">
            <w:drawing>
              <wp:anchor distT="0" distB="0" distL="114300" distR="114300" simplePos="0" relativeHeight="251674624" behindDoc="0" locked="0" layoutInCell="1" allowOverlap="1">
                <wp:simplePos x="0" y="0"/>
                <wp:positionH relativeFrom="column">
                  <wp:posOffset>-1922780</wp:posOffset>
                </wp:positionH>
                <wp:positionV relativeFrom="paragraph">
                  <wp:posOffset>1799590</wp:posOffset>
                </wp:positionV>
                <wp:extent cx="1276350" cy="4000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76350" cy="400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4"/>
                                <w:szCs w:val="24"/>
                                <w:lang w:val="en-US" w:eastAsia="zh-CN"/>
                              </w:rPr>
                            </w:pPr>
                            <w:r>
                              <w:rPr>
                                <w:rFonts w:hint="eastAsia"/>
                                <w:sz w:val="24"/>
                                <w:szCs w:val="24"/>
                                <w:lang w:val="en-US" w:eastAsia="zh-CN"/>
                              </w:rPr>
                              <w:t>2021-03号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4pt;margin-top:141.7pt;height:31.5pt;width:100.5pt;z-index:251674624;mso-width-relative:page;mso-height-relative:page;" filled="f" stroked="f" coordsize="21600,21600" o:gfxdata="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7iXnd&#10;AAAADQEAAA8AAAAAAAAAAQAgAAAAIgAAAGRycy9kb3ducmV2LnhtbFBLAQIUABQAAAAIAIdO4kDV&#10;wnRiGwIAABgEAAAOAAAAAAAAAAEAIAAAACwBAABkcnMvZTJvRG9jLnhtbFBLBQYAAAAABgAGAFkB&#10;AAC5BQAAAAA=&#10;">
                <v:fill on="f" focussize="0,0"/>
                <v:stroke on="f" weight="0.5pt"/>
                <v:imagedata o:title=""/>
                <o:lock v:ext="edit" aspectratio="f"/>
                <v:textbox>
                  <w:txbxContent>
                    <w:p>
                      <w:pPr>
                        <w:rPr>
                          <w:rFonts w:hint="default" w:eastAsia="宋体"/>
                          <w:sz w:val="24"/>
                          <w:szCs w:val="24"/>
                          <w:lang w:val="en-US" w:eastAsia="zh-CN"/>
                        </w:rPr>
                      </w:pPr>
                      <w:r>
                        <w:rPr>
                          <w:rFonts w:hint="eastAsia"/>
                          <w:sz w:val="24"/>
                          <w:szCs w:val="24"/>
                          <w:lang w:val="en-US" w:eastAsia="zh-CN"/>
                        </w:rPr>
                        <w:t>2021-03号</w:t>
                      </w:r>
                    </w:p>
                  </w:txbxContent>
                </v:textbox>
              </v:shape>
            </w:pict>
          </mc:Fallback>
        </mc:AlternateContent>
      </w:r>
      <w:r>
        <w:rPr>
          <w:rFonts w:hint="eastAsia" w:ascii="仿宋_GB2312" w:hAnsi="仿宋_GB2312" w:eastAsia="仿宋_GB2312" w:cs="仿宋_GB2312"/>
          <w:color w:val="auto"/>
          <w:sz w:val="28"/>
          <w:szCs w:val="28"/>
          <w:u w:val="none"/>
          <w:lang w:val="en-US" w:eastAsia="zh-CN"/>
        </w:rPr>
        <w:t>宗地2021-04号，实用地面积60.38亩（40255平方米），公共绿地面积9.26亩（6174平方米，不计入经济技术指标），具体面积以实测为准。本宗地计容建筑面积不大于92586平方米，计容集中商业建筑面积不大于2000平方米，计容公共服务设施面积不小于1690平方米。本宗地商业应相对集中布置主要出入口。根据闽侯县住房和城乡建设局提供数据，本宗地商品住宅销售备案均价为14418元/平方米。本宗地沿地块西侧应退让20米作为城市公共绿化带，对外开放使用，不得设置实体围墙，具体设计方案应报县市政园林管护中心同意并经县政府审定后由受让人出资建设，公共绿化带建设标准不低于每平方米300元人民币，要求受让人在上报本宗地规划总平设计方案时同时上报绿化带设计方案并先行施工建设。在办理本出让宗地不动产权证时该公共绿化用地不予登记发证，若今后政府项目建设需要征用该公共绿化用地及地上物均不予赔偿。</w:t>
      </w:r>
    </w:p>
    <w:p>
      <w:pPr>
        <w:keepNext w:val="0"/>
        <w:keepLines w:val="0"/>
        <w:pageBreakBefore w:val="0"/>
        <w:widowControl w:val="0"/>
        <w:tabs>
          <w:tab w:val="left" w:pos="11360"/>
        </w:tabs>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color w:val="auto"/>
          <w:sz w:val="28"/>
          <w:szCs w:val="28"/>
          <w:u w:val="none"/>
          <w:lang w:val="en-US" w:eastAsia="zh-CN"/>
        </w:rPr>
      </w:pPr>
      <w:r>
        <w:rPr>
          <w:rFonts w:hint="eastAsia" w:ascii="黑体" w:hAnsi="黑体" w:eastAsia="黑体" w:cs="黑体"/>
          <w:color w:val="auto"/>
          <w:sz w:val="28"/>
          <w:szCs w:val="28"/>
          <w:u w:val="none"/>
        </w:rPr>
        <w:t>二、竞买人范围：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（一）</w:t>
      </w:r>
      <w:r>
        <w:rPr>
          <w:rFonts w:hint="eastAsia" w:ascii="仿宋_GB2312" w:hAnsi="仿宋_GB2312" w:eastAsia="仿宋_GB2312" w:cs="仿宋_GB2312"/>
          <w:color w:val="auto"/>
          <w:sz w:val="28"/>
          <w:szCs w:val="28"/>
          <w:u w:val="none"/>
        </w:rPr>
        <w:t>凡遵守中华人民共和国法律、法规的境内外自然人、法人和其他组织均可报名参与竞买。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（二）</w:t>
      </w:r>
      <w:r>
        <w:rPr>
          <w:rFonts w:hint="eastAsia" w:ascii="仿宋_GB2312" w:hAnsi="仿宋_GB2312" w:eastAsia="仿宋_GB2312" w:cs="仿宋_GB2312"/>
          <w:color w:val="auto"/>
          <w:sz w:val="28"/>
          <w:szCs w:val="28"/>
          <w:u w:val="none"/>
        </w:rPr>
        <w:t>凡在闽侯县行政区域内存在下列违法违规行为的竞买申请人及其控股股东，在结案和问题查处整改到位前不得参加本次竞买活动: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有拖欠土地出让金的;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存在非法转让土地使用权等违法行为的;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因企业原因造成土地闲置一年以上的;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开发建设企业违背出让合同约定条件开发利用土地的</w:t>
      </w:r>
      <w:r>
        <w:rPr>
          <w:rFonts w:hint="eastAsia" w:ascii="仿宋_GB2312" w:hAnsi="仿宋_GB2312" w:eastAsia="仿宋_GB2312" w:cs="仿宋_GB2312"/>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（三）关联自然人、法人和其他组织不能同时参与同一宗地竞买活动。</w:t>
      </w:r>
    </w:p>
    <w:p>
      <w:pPr>
        <w:keepNext w:val="0"/>
        <w:keepLines w:val="0"/>
        <w:pageBreakBefore w:val="0"/>
        <w:widowControl w:val="0"/>
        <w:kinsoku/>
        <w:wordWrap/>
        <w:overflowPunct/>
        <w:topLinePunct w:val="0"/>
        <w:autoSpaceDE/>
        <w:autoSpaceDN/>
        <w:bidi w:val="0"/>
        <w:adjustRightInd/>
        <w:snapToGrid/>
        <w:spacing w:line="440" w:lineRule="exact"/>
        <w:ind w:firstLine="840" w:firstLineChars="300"/>
        <w:textAlignment w:val="auto"/>
        <w:rPr>
          <w:rFonts w:ascii="仿宋_GB2312" w:hAnsi="仿宋_GB2312" w:eastAsia="仿宋_GB2312" w:cs="仿宋_GB2312"/>
          <w:color w:val="auto"/>
          <w:sz w:val="28"/>
          <w:szCs w:val="28"/>
          <w:u w:val="none"/>
        </w:rPr>
      </w:pPr>
      <w:r>
        <w:rPr>
          <w:rFonts w:hint="eastAsia" w:ascii="黑体" w:hAnsi="黑体" w:eastAsia="黑体" w:cs="黑体"/>
          <w:color w:val="auto"/>
          <w:sz w:val="28"/>
          <w:szCs w:val="28"/>
          <w:u w:val="none"/>
        </w:rPr>
        <w:t>三、索取材料方式</w:t>
      </w:r>
      <w:r>
        <w:rPr>
          <w:rFonts w:hint="eastAsia" w:ascii="仿宋_GB2312" w:hAnsi="仿宋_GB2312" w:eastAsia="仿宋_GB2312" w:cs="仿宋_GB2312"/>
          <w:color w:val="auto"/>
          <w:sz w:val="28"/>
          <w:szCs w:val="28"/>
          <w:u w:val="none"/>
        </w:rPr>
        <w:t>：竞买意向者凭有效证件，</w:t>
      </w:r>
      <w:r>
        <w:rPr>
          <w:rFonts w:hint="eastAsia" w:ascii="仿宋_GB2312" w:hAnsi="仿宋_GB2312" w:eastAsia="仿宋_GB2312" w:cs="仿宋_GB2312"/>
          <w:color w:val="auto"/>
          <w:sz w:val="28"/>
          <w:szCs w:val="28"/>
          <w:u w:val="none"/>
          <w:lang w:val="en-US" w:eastAsia="zh-CN"/>
        </w:rPr>
        <w:t>自2021年4月13日至2021年4月28日</w:t>
      </w:r>
      <w:r>
        <w:rPr>
          <w:rFonts w:hint="eastAsia" w:ascii="仿宋_GB2312" w:hAnsi="仿宋_GB2312" w:eastAsia="仿宋_GB2312" w:cs="仿宋_GB2312"/>
          <w:color w:val="auto"/>
          <w:sz w:val="28"/>
          <w:szCs w:val="28"/>
          <w:u w:val="none"/>
        </w:rPr>
        <w:t>下午4:30前的正常工作时间到闽侯县公共资源交易服务中心业务受理区（第一开标室东门正对面的办公室）索取出让文件材料。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黑体" w:hAnsi="黑体" w:eastAsia="黑体" w:cs="黑体"/>
          <w:color w:val="auto"/>
          <w:sz w:val="28"/>
          <w:szCs w:val="28"/>
          <w:u w:val="none"/>
        </w:rPr>
      </w:pPr>
      <w:r>
        <w:rPr>
          <w:rFonts w:hint="eastAsia" w:ascii="黑体" w:hAnsi="黑体" w:eastAsia="黑体" w:cs="黑体"/>
          <w:color w:val="auto"/>
          <w:sz w:val="28"/>
          <w:szCs w:val="28"/>
          <w:u w:val="none"/>
        </w:rPr>
        <w:t>四、出让方式：</w:t>
      </w:r>
      <w:r>
        <w:rPr>
          <w:rFonts w:hint="eastAsia" w:ascii="仿宋_GB2312" w:hAnsi="仿宋_GB2312" w:eastAsia="仿宋_GB2312" w:cs="仿宋_GB2312"/>
          <w:color w:val="auto"/>
          <w:sz w:val="28"/>
          <w:szCs w:val="28"/>
          <w:u w:val="none"/>
        </w:rPr>
        <w:t>拍卖。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黑体" w:hAnsi="黑体" w:eastAsia="黑体" w:cs="黑体"/>
          <w:color w:val="auto"/>
          <w:sz w:val="28"/>
          <w:szCs w:val="28"/>
          <w:u w:val="none"/>
        </w:rPr>
      </w:pPr>
      <w:r>
        <w:rPr>
          <w:rFonts w:hint="eastAsia" w:ascii="黑体" w:hAnsi="黑体" w:eastAsia="黑体" w:cs="黑体"/>
          <w:color w:val="auto"/>
          <w:sz w:val="28"/>
          <w:szCs w:val="28"/>
          <w:u w:val="none"/>
        </w:rPr>
        <w:t>五、本次国有建设用地使用权出让时间和地点：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rPr>
        <w:t>1、拍卖时间</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2021-03号：</w:t>
      </w:r>
      <w:r>
        <w:rPr>
          <w:rFonts w:hint="eastAsia" w:ascii="仿宋_GB2312" w:hAnsi="仿宋_GB2312" w:eastAsia="仿宋_GB2312" w:cs="仿宋_GB2312"/>
          <w:color w:val="auto"/>
          <w:sz w:val="28"/>
          <w:szCs w:val="28"/>
          <w:u w:val="none"/>
          <w:lang w:eastAsia="zh-CN"/>
        </w:rPr>
        <w:t>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lang w:eastAsia="zh-CN"/>
        </w:rPr>
        <w:t>年</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lang w:eastAsia="zh-CN"/>
        </w:rPr>
        <w:t>月</w:t>
      </w:r>
      <w:r>
        <w:rPr>
          <w:rFonts w:hint="eastAsia" w:ascii="仿宋_GB2312" w:hAnsi="仿宋_GB2312" w:eastAsia="仿宋_GB2312" w:cs="仿宋_GB2312"/>
          <w:color w:val="auto"/>
          <w:sz w:val="28"/>
          <w:szCs w:val="28"/>
          <w:u w:val="none"/>
          <w:lang w:val="en-US" w:eastAsia="zh-CN"/>
        </w:rPr>
        <w:t>29</w:t>
      </w:r>
      <w:r>
        <w:rPr>
          <w:rFonts w:hint="eastAsia" w:ascii="仿宋_GB2312" w:hAnsi="仿宋_GB2312" w:eastAsia="仿宋_GB2312" w:cs="仿宋_GB2312"/>
          <w:color w:val="auto"/>
          <w:sz w:val="28"/>
          <w:szCs w:val="28"/>
          <w:u w:val="none"/>
          <w:lang w:eastAsia="zh-CN"/>
        </w:rPr>
        <w:t>日（星期四）上午</w:t>
      </w: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lang w:eastAsia="zh-CN"/>
        </w:rPr>
        <w:t>：30；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b w:val="0"/>
          <w:bCs w:val="0"/>
          <w:i w:val="0"/>
          <w:iCs w:val="0"/>
          <w:color w:val="auto"/>
          <w:sz w:val="28"/>
          <w:szCs w:val="28"/>
          <w:u w:val="none"/>
          <w:shd w:val="clear" w:color="auto" w:fill="auto"/>
          <w:lang w:val="en-US" w:eastAsia="zh-CN"/>
        </w:rPr>
        <w:t xml:space="preserve">            2021-04号：</w:t>
      </w:r>
      <w:r>
        <w:rPr>
          <w:rFonts w:hint="eastAsia" w:ascii="仿宋_GB2312" w:hAnsi="仿宋_GB2312" w:eastAsia="仿宋_GB2312" w:cs="仿宋_GB2312"/>
          <w:color w:val="auto"/>
          <w:sz w:val="28"/>
          <w:szCs w:val="28"/>
          <w:u w:val="none"/>
          <w:lang w:eastAsia="zh-CN"/>
        </w:rPr>
        <w:t>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lang w:eastAsia="zh-CN"/>
        </w:rPr>
        <w:t>年</w:t>
      </w:r>
      <w:r>
        <w:rPr>
          <w:rFonts w:hint="eastAsia" w:ascii="仿宋_GB2312" w:hAnsi="仿宋_GB2312" w:eastAsia="仿宋_GB2312" w:cs="仿宋_GB2312"/>
          <w:color w:val="auto"/>
          <w:sz w:val="28"/>
          <w:szCs w:val="28"/>
          <w:u w:val="none"/>
          <w:lang w:val="en-US" w:eastAsia="zh-CN"/>
        </w:rPr>
        <w:t>4月29日（星期四）</w:t>
      </w:r>
      <w:r>
        <w:rPr>
          <w:rFonts w:hint="eastAsia" w:ascii="仿宋_GB2312" w:hAnsi="仿宋_GB2312" w:eastAsia="仿宋_GB2312" w:cs="仿宋_GB2312"/>
          <w:color w:val="auto"/>
          <w:sz w:val="28"/>
          <w:szCs w:val="28"/>
          <w:u w:val="none"/>
          <w:lang w:eastAsia="zh-CN"/>
        </w:rPr>
        <w:t>上午</w:t>
      </w:r>
      <w:r>
        <w:rPr>
          <w:rFonts w:hint="eastAsia" w:ascii="仿宋_GB2312" w:hAnsi="仿宋_GB2312" w:eastAsia="仿宋_GB2312" w:cs="仿宋_GB2312"/>
          <w:color w:val="auto"/>
          <w:sz w:val="28"/>
          <w:szCs w:val="28"/>
          <w:u w:val="none"/>
          <w:lang w:val="en-US" w:eastAsia="zh-CN"/>
        </w:rPr>
        <w:t>10</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0</w:t>
      </w:r>
      <w:r>
        <w:rPr>
          <w:rFonts w:hint="eastAsia" w:ascii="仿宋_GB2312" w:hAnsi="仿宋_GB2312" w:eastAsia="仿宋_GB2312" w:cs="仿宋_GB2312"/>
          <w:color w:val="auto"/>
          <w:sz w:val="28"/>
          <w:szCs w:val="28"/>
          <w:u w:val="none"/>
          <w:lang w:eastAsia="zh-CN"/>
        </w:rPr>
        <w:t>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2、拍卖地点：闽侯县公共资源交易服务中心（行政服务中心第一开标室）。</w:t>
      </w:r>
    </w:p>
    <w:p>
      <w:pPr>
        <w:keepNext w:val="0"/>
        <w:keepLines w:val="0"/>
        <w:pageBreakBefore w:val="0"/>
        <w:widowControl w:val="0"/>
        <w:tabs>
          <w:tab w:val="left" w:pos="11360"/>
        </w:tabs>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黑体" w:hAnsi="黑体" w:eastAsia="黑体" w:cs="黑体"/>
          <w:color w:val="auto"/>
          <w:sz w:val="28"/>
          <w:szCs w:val="28"/>
          <w:u w:val="none"/>
        </w:rPr>
        <w:t>六、报名事项</w:t>
      </w:r>
    </w:p>
    <w:p>
      <w:pPr>
        <w:keepNext w:val="0"/>
        <w:keepLines w:val="0"/>
        <w:pageBreakBefore w:val="0"/>
        <w:widowControl w:val="0"/>
        <w:numPr>
          <w:ilvl w:val="0"/>
          <w:numId w:val="3"/>
        </w:numPr>
        <w:tabs>
          <w:tab w:val="left" w:pos="11360"/>
        </w:tabs>
        <w:kinsoku/>
        <w:wordWrap/>
        <w:overflowPunct/>
        <w:topLinePunct w:val="0"/>
        <w:autoSpaceDE/>
        <w:autoSpaceDN/>
        <w:bidi w:val="0"/>
        <w:adjustRightInd/>
        <w:snapToGrid/>
        <w:spacing w:line="440" w:lineRule="exact"/>
        <w:ind w:firstLine="554"/>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竞买申请人提供的报名材料：提交竞买申请表、竞买保证金缴款凭证、法人单位有效证明文件（企业营业执照副本等）和法定代表人身份证明、国有建设用地使用权竞买人廉洁自律承诺书、</w:t>
      </w:r>
      <w:r>
        <w:rPr>
          <w:rFonts w:hint="eastAsia" w:ascii="仿宋_GB2312" w:hAnsi="仿宋_GB2312" w:eastAsia="仿宋_GB2312" w:cs="仿宋_GB2312"/>
          <w:color w:val="auto"/>
          <w:sz w:val="28"/>
          <w:szCs w:val="28"/>
          <w:u w:val="none"/>
          <w:lang w:eastAsia="zh-CN"/>
        </w:rPr>
        <w:t>关联自然人、法人和其他组织不能同时参与同一宗地竞买承诺书、</w:t>
      </w:r>
      <w:r>
        <w:rPr>
          <w:rFonts w:hint="eastAsia" w:ascii="仿宋_GB2312" w:hAnsi="仿宋_GB2312" w:eastAsia="仿宋_GB2312" w:cs="仿宋_GB2312"/>
          <w:color w:val="auto"/>
          <w:sz w:val="28"/>
          <w:szCs w:val="28"/>
          <w:u w:val="none"/>
        </w:rPr>
        <w:t>土地成交价款不属于通过发行债券、信托计划、资产管理计划等融资资金的承诺书、资信证明等出让文件要求的相关材料；委托他人办理的还应提供授权委托书、委托代理人身份证明材料，向闽侯县公共资源交易服务中心提交竞买申请材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、参加竞买申请方式及截止日期：</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竞买申请人应在202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13</w:t>
      </w:r>
      <w:r>
        <w:rPr>
          <w:rFonts w:hint="eastAsia" w:ascii="仿宋_GB2312" w:hAnsi="仿宋_GB2312" w:eastAsia="仿宋_GB2312" w:cs="仿宋_GB2312"/>
          <w:color w:val="auto"/>
          <w:sz w:val="28"/>
          <w:szCs w:val="28"/>
          <w:u w:val="none"/>
        </w:rPr>
        <w:t>日至20</w:t>
      </w:r>
      <w:r>
        <w:rPr>
          <w:rFonts w:ascii="仿宋_GB2312" w:hAnsi="仿宋_GB2312" w:eastAsia="仿宋_GB2312" w:cs="仿宋_GB2312"/>
          <w:color w:val="auto"/>
          <w:sz w:val="28"/>
          <w:szCs w:val="28"/>
          <w:u w:val="none"/>
        </w:rPr>
        <w:t>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28</w:t>
      </w:r>
      <w:r>
        <w:rPr>
          <w:rFonts w:hint="eastAsia" w:ascii="仿宋_GB2312" w:hAnsi="仿宋_GB2312" w:eastAsia="仿宋_GB2312" w:cs="仿宋_GB2312"/>
          <w:color w:val="auto"/>
          <w:sz w:val="28"/>
          <w:szCs w:val="28"/>
          <w:u w:val="none"/>
        </w:rPr>
        <w:t>日（上午9：00至1</w:t>
      </w: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w:t>
      </w:r>
      <w:r>
        <w:rPr>
          <w:rFonts w:hint="eastAsia" w:ascii="仿宋_GB2312" w:hAnsi="仿宋_GB2312" w:eastAsia="仿宋_GB2312" w:cs="仿宋_GB2312"/>
          <w:color w:val="auto"/>
          <w:sz w:val="28"/>
          <w:szCs w:val="28"/>
          <w:u w:val="none"/>
          <w:lang w:val="en-US" w:eastAsia="zh-CN"/>
        </w:rPr>
        <w:t>0</w:t>
      </w:r>
      <w:r>
        <w:rPr>
          <w:rFonts w:hint="eastAsia" w:ascii="仿宋_GB2312" w:hAnsi="仿宋_GB2312" w:eastAsia="仿宋_GB2312" w:cs="仿宋_GB2312"/>
          <w:color w:val="auto"/>
          <w:sz w:val="28"/>
          <w:szCs w:val="28"/>
          <w:u w:val="none"/>
        </w:rPr>
        <w:t xml:space="preserve">0，下午2：30至5：00, </w:t>
      </w:r>
      <w:r>
        <w:rPr>
          <w:rFonts w:ascii="仿宋_GB2312" w:hAnsi="仿宋_GB2312" w:eastAsia="仿宋_GB2312" w:cs="仿宋_GB2312"/>
          <w:color w:val="auto"/>
          <w:sz w:val="28"/>
          <w:szCs w:val="28"/>
          <w:u w:val="none"/>
        </w:rPr>
        <w:t>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28</w:t>
      </w:r>
      <w:r>
        <w:rPr>
          <w:rFonts w:hint="eastAsia" w:ascii="仿宋_GB2312" w:hAnsi="仿宋_GB2312" w:eastAsia="仿宋_GB2312" w:cs="仿宋_GB2312"/>
          <w:color w:val="auto"/>
          <w:sz w:val="28"/>
          <w:szCs w:val="28"/>
          <w:u w:val="none"/>
        </w:rPr>
        <w:t>日下午</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0之前）提交报名材料和竞买保证金的缴款凭证（申请人的竞买保证金必须于202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27</w:t>
      </w:r>
      <w:r>
        <w:rPr>
          <w:rFonts w:hint="eastAsia" w:ascii="仿宋_GB2312" w:hAnsi="仿宋_GB2312" w:eastAsia="仿宋_GB2312" w:cs="仿宋_GB2312"/>
          <w:color w:val="auto"/>
          <w:sz w:val="28"/>
          <w:szCs w:val="28"/>
          <w:u w:val="none"/>
        </w:rPr>
        <w:t>日下午4:30前汇至指定的账户）提出竞买申请。申请人是否具备申请条件将在报名截止当日审核确认。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val="0"/>
          <w:color w:val="auto"/>
          <w:sz w:val="28"/>
          <w:szCs w:val="28"/>
          <w:u w:val="none"/>
        </w:rPr>
      </w:pPr>
      <w:r>
        <w:rPr>
          <w:rFonts w:hint="eastAsia" w:ascii="黑体" w:hAnsi="黑体" w:eastAsia="黑体" w:cs="黑体"/>
          <w:b w:val="0"/>
          <w:bCs w:val="0"/>
          <w:color w:val="auto"/>
          <w:sz w:val="28"/>
          <w:szCs w:val="28"/>
          <w:u w:val="none"/>
        </w:rPr>
        <w:t xml:space="preserve">七、其他事项 </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1、闽侯县自然资源和规划局为本次土地公开出让活动的出让人，拍卖主持人由闽侯县自然资源和规划局指定。</w:t>
      </w:r>
    </w:p>
    <w:p>
      <w:pPr>
        <w:keepNext w:val="0"/>
        <w:keepLines w:val="0"/>
        <w:pageBreakBefore w:val="0"/>
        <w:widowControl w:val="0"/>
        <w:kinsoku/>
        <w:wordWrap/>
        <w:overflowPunct/>
        <w:topLinePunct w:val="0"/>
        <w:autoSpaceDE/>
        <w:autoSpaceDN/>
        <w:bidi w:val="0"/>
        <w:adjustRightInd/>
        <w:snapToGrid/>
        <w:spacing w:line="440" w:lineRule="exact"/>
        <w:ind w:firstLine="554"/>
        <w:jc w:val="left"/>
        <w:textAlignment w:val="auto"/>
        <w:rPr>
          <w:rFonts w:hint="eastAsia" w:ascii="仿宋_GB2312" w:eastAsia="仿宋_GB2312"/>
          <w:b w:val="0"/>
          <w:bCs w:val="0"/>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2、</w:t>
      </w:r>
      <w:r>
        <w:rPr>
          <w:rFonts w:hint="eastAsia" w:ascii="仿宋_GB2312" w:eastAsia="仿宋_GB2312"/>
          <w:b w:val="0"/>
          <w:bCs w:val="0"/>
          <w:color w:val="auto"/>
          <w:sz w:val="28"/>
          <w:szCs w:val="28"/>
          <w:u w:val="none"/>
          <w:lang w:val="en-US" w:eastAsia="zh-CN"/>
        </w:rPr>
        <w:t>拍卖竞价方式：上述两宗地拍卖竞价采用“限房价、控地价、公开摇号”方式：即地块设定最高限制价格宗地最高限价（宗地2021-03号最高限价125300，宗地2021-04号最高限价74000万元），竞买人报价低于最高限价的，按价高者得原则确定竞得人；当报价达到最高限价后，不再接受更高报价，且有其他竞买人愿意接受该最高限制地价，则竞买方式转为采取公开摇号方式确定受让人。凡接受最高限制地价的竞买人均可申请继续参与摇号，并将最终摇中者确定为受让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default" w:ascii="仿宋_GB2312" w:eastAsia="仿宋_GB2312"/>
          <w:b w:val="0"/>
          <w:bCs w:val="0"/>
          <w:color w:val="auto"/>
          <w:sz w:val="28"/>
          <w:szCs w:val="28"/>
          <w:u w:val="none"/>
          <w:lang w:val="en-US" w:eastAsia="zh-CN"/>
        </w:rPr>
      </w:pPr>
      <w:r>
        <w:rPr>
          <w:rFonts w:hint="eastAsia" w:ascii="仿宋_GB2312" w:eastAsia="仿宋_GB2312"/>
          <w:b w:val="0"/>
          <w:bCs w:val="0"/>
          <w:color w:val="auto"/>
          <w:sz w:val="28"/>
          <w:szCs w:val="28"/>
          <w:u w:val="none"/>
          <w:lang w:val="en-US" w:eastAsia="zh-CN"/>
        </w:rPr>
        <w:t>3、上述宗地受让人必须依照闽侯县自然资源和规划局提供的出让宗地概念设计方案进行项目设计，在满足出让宗地规划技术条件下，出让宗地规划设计方案可进行微调，但须经闽侯县自然资源和规划局审核同意。</w:t>
      </w:r>
    </w:p>
    <w:p>
      <w:pPr>
        <w:keepNext w:val="0"/>
        <w:keepLines w:val="0"/>
        <w:pageBreakBefore w:val="0"/>
        <w:widowControl w:val="0"/>
        <w:kinsoku/>
        <w:wordWrap/>
        <w:overflowPunct/>
        <w:topLinePunct w:val="0"/>
        <w:autoSpaceDE/>
        <w:autoSpaceDN/>
        <w:bidi w:val="0"/>
        <w:adjustRightInd/>
        <w:snapToGrid/>
        <w:spacing w:line="440" w:lineRule="exact"/>
        <w:ind w:firstLine="554"/>
        <w:jc w:val="left"/>
        <w:textAlignment w:val="auto"/>
        <w:rPr>
          <w:rFonts w:hint="eastAsia" w:ascii="仿宋_GB2312" w:eastAsia="仿宋_GB2312"/>
          <w:b w:val="0"/>
          <w:bCs w:val="0"/>
          <w:color w:val="auto"/>
          <w:sz w:val="28"/>
          <w:szCs w:val="28"/>
          <w:u w:val="none"/>
          <w:lang w:val="en-US" w:eastAsia="zh-CN"/>
        </w:rPr>
      </w:pPr>
      <w:r>
        <w:rPr>
          <w:rFonts w:hint="eastAsia" w:ascii="仿宋_GB2312" w:hAnsi="仿宋_GB2312" w:eastAsia="仿宋_GB2312" w:cs="仿宋_GB2312"/>
          <w:b w:val="0"/>
          <w:bCs w:val="0"/>
          <w:color w:val="auto"/>
          <w:sz w:val="28"/>
          <w:szCs w:val="28"/>
          <w:u w:val="none"/>
          <w:lang w:val="en-US" w:eastAsia="zh-CN"/>
        </w:rPr>
        <w:t>4、</w:t>
      </w:r>
      <w:r>
        <w:rPr>
          <w:rFonts w:hint="eastAsia" w:ascii="仿宋_GB2312" w:hAnsi="仿宋_GB2312" w:eastAsia="仿宋_GB2312" w:cs="仿宋_GB2312"/>
          <w:b w:val="0"/>
          <w:bCs w:val="0"/>
          <w:color w:val="auto"/>
          <w:sz w:val="28"/>
          <w:szCs w:val="28"/>
          <w:u w:val="none"/>
        </w:rPr>
        <w:t>给付成交价款方式：上述宗地受让人</w:t>
      </w:r>
      <w:r>
        <w:rPr>
          <w:rFonts w:hint="eastAsia" w:ascii="仿宋_GB2312" w:hAnsi="仿宋_GB2312" w:eastAsia="仿宋_GB2312" w:cs="仿宋_GB2312"/>
          <w:b w:val="0"/>
          <w:bCs w:val="0"/>
          <w:color w:val="auto"/>
          <w:sz w:val="28"/>
          <w:szCs w:val="28"/>
          <w:u w:val="none"/>
          <w:lang w:eastAsia="zh-CN"/>
        </w:rPr>
        <w:t>于</w:t>
      </w:r>
      <w:r>
        <w:rPr>
          <w:rFonts w:hint="eastAsia" w:ascii="仿宋_GB2312" w:hAnsi="仿宋_GB2312" w:eastAsia="仿宋_GB2312" w:cs="仿宋_GB2312"/>
          <w:b w:val="0"/>
          <w:bCs w:val="0"/>
          <w:color w:val="auto"/>
          <w:sz w:val="28"/>
          <w:szCs w:val="28"/>
          <w:u w:val="none"/>
          <w:lang w:val="en-US" w:eastAsia="zh-CN"/>
        </w:rPr>
        <w:t>2021年5月27日前</w:t>
      </w:r>
      <w:bookmarkStart w:id="0" w:name="_GoBack"/>
      <w:bookmarkEnd w:id="0"/>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rPr>
        <w:t>自土地出让合</w:t>
      </w:r>
      <w:r>
        <w:rPr>
          <w:rFonts w:hint="eastAsia" w:ascii="仿宋_GB2312" w:eastAsia="仿宋_GB2312"/>
          <w:b w:val="0"/>
          <w:bCs w:val="0"/>
          <w:color w:val="auto"/>
          <w:sz w:val="28"/>
          <w:szCs w:val="28"/>
          <w:u w:val="none"/>
          <w:lang w:val="en-US" w:eastAsia="zh-CN"/>
        </w:rPr>
        <w:t>同签订之日起15日内）缴付土地成交价款的50%，余下50%土地成交价款于2021年7月11日前（自土地出让合同签订之日起60日内）缴清。</w:t>
      </w:r>
    </w:p>
    <w:p>
      <w:pPr>
        <w:keepNext w:val="0"/>
        <w:keepLines w:val="0"/>
        <w:pageBreakBefore w:val="0"/>
        <w:widowControl w:val="0"/>
        <w:kinsoku/>
        <w:wordWrap/>
        <w:overflowPunct/>
        <w:topLinePunct w:val="0"/>
        <w:autoSpaceDE/>
        <w:autoSpaceDN/>
        <w:bidi w:val="0"/>
        <w:adjustRightInd/>
        <w:snapToGrid/>
        <w:spacing w:line="440" w:lineRule="exact"/>
        <w:ind w:firstLine="554"/>
        <w:jc w:val="left"/>
        <w:textAlignment w:val="auto"/>
        <w:rPr>
          <w:rFonts w:hint="default" w:ascii="仿宋_GB2312" w:hAnsi="仿宋_GB2312" w:eastAsia="仿宋_GB2312" w:cs="仿宋_GB2312"/>
          <w:b w:val="0"/>
          <w:bCs w:val="0"/>
          <w:color w:val="auto"/>
          <w:sz w:val="28"/>
          <w:szCs w:val="28"/>
          <w:u w:val="none"/>
          <w:lang w:val="en-US" w:eastAsia="zh-CN"/>
        </w:rPr>
      </w:pPr>
      <w:r>
        <w:rPr>
          <w:rFonts w:hint="eastAsia" w:ascii="仿宋_GB2312" w:hAnsi="仿宋_GB2312" w:eastAsia="仿宋_GB2312" w:cs="仿宋_GB2312"/>
          <w:b w:val="0"/>
          <w:bCs w:val="0"/>
          <w:color w:val="auto"/>
          <w:sz w:val="28"/>
          <w:szCs w:val="28"/>
          <w:u w:val="none"/>
          <w:lang w:val="en-US" w:eastAsia="zh-CN"/>
        </w:rPr>
        <w:t>5</w:t>
      </w:r>
      <w:r>
        <w:rPr>
          <w:rFonts w:hint="eastAsia" w:ascii="仿宋_GB2312" w:hAnsi="仿宋_GB2312" w:eastAsia="仿宋_GB2312" w:cs="仿宋_GB2312"/>
          <w:b w:val="0"/>
          <w:bCs w:val="0"/>
          <w:color w:val="auto"/>
          <w:sz w:val="28"/>
          <w:szCs w:val="28"/>
          <w:u w:val="none"/>
        </w:rPr>
        <w:t>、宗地</w:t>
      </w:r>
      <w:r>
        <w:rPr>
          <w:rFonts w:hint="eastAsia" w:ascii="仿宋_GB2312" w:hAnsi="仿宋_GB2312" w:eastAsia="仿宋_GB2312" w:cs="仿宋_GB2312"/>
          <w:b w:val="0"/>
          <w:bCs w:val="0"/>
          <w:color w:val="auto"/>
          <w:sz w:val="28"/>
          <w:szCs w:val="28"/>
          <w:u w:val="none"/>
          <w:lang w:eastAsia="zh-CN"/>
        </w:rPr>
        <w:t>交地、</w:t>
      </w:r>
      <w:r>
        <w:rPr>
          <w:rFonts w:hint="eastAsia" w:ascii="仿宋_GB2312" w:hAnsi="仿宋_GB2312" w:eastAsia="仿宋_GB2312" w:cs="仿宋_GB2312"/>
          <w:b w:val="0"/>
          <w:bCs w:val="0"/>
          <w:color w:val="auto"/>
          <w:sz w:val="28"/>
          <w:szCs w:val="28"/>
          <w:u w:val="none"/>
        </w:rPr>
        <w:t>开竣工时间：</w:t>
      </w:r>
      <w:r>
        <w:rPr>
          <w:rFonts w:hint="eastAsia" w:ascii="仿宋_GB2312" w:hAnsi="仿宋_GB2312" w:eastAsia="仿宋_GB2312" w:cs="仿宋_GB2312"/>
          <w:b w:val="0"/>
          <w:bCs w:val="0"/>
          <w:color w:val="auto"/>
          <w:sz w:val="28"/>
          <w:szCs w:val="28"/>
          <w:u w:val="none"/>
          <w:lang w:val="en-US" w:eastAsia="zh-CN"/>
        </w:rPr>
        <w:t>2021-03号</w:t>
      </w:r>
      <w:r>
        <w:rPr>
          <w:rFonts w:hint="eastAsia" w:ascii="仿宋_GB2312" w:hAnsi="仿宋_GB2312" w:eastAsia="仿宋_GB2312" w:cs="仿宋_GB2312"/>
          <w:b w:val="0"/>
          <w:bCs w:val="0"/>
          <w:color w:val="auto"/>
          <w:sz w:val="28"/>
          <w:szCs w:val="28"/>
          <w:u w:val="none"/>
          <w:lang w:eastAsia="zh-CN"/>
        </w:rPr>
        <w:t>宗地</w:t>
      </w:r>
      <w:r>
        <w:rPr>
          <w:rFonts w:hint="eastAsia" w:ascii="仿宋_GB2312" w:hAnsi="仿宋_GB2312" w:eastAsia="仿宋_GB2312" w:cs="仿宋_GB2312"/>
          <w:b w:val="0"/>
          <w:bCs w:val="0"/>
          <w:color w:val="auto"/>
          <w:sz w:val="28"/>
          <w:szCs w:val="28"/>
          <w:u w:val="none"/>
        </w:rPr>
        <w:t>交地时间自土地出让金缴清之日起</w:t>
      </w:r>
      <w:r>
        <w:rPr>
          <w:rFonts w:hint="eastAsia" w:ascii="仿宋_GB2312" w:hAnsi="仿宋_GB2312" w:eastAsia="仿宋_GB2312" w:cs="仿宋_GB2312"/>
          <w:b w:val="0"/>
          <w:bCs w:val="0"/>
          <w:color w:val="auto"/>
          <w:sz w:val="28"/>
          <w:szCs w:val="28"/>
          <w:u w:val="none"/>
          <w:lang w:val="en-US" w:eastAsia="zh-CN"/>
        </w:rPr>
        <w:t>2</w:t>
      </w:r>
      <w:r>
        <w:rPr>
          <w:rFonts w:hint="eastAsia" w:ascii="仿宋_GB2312" w:hAnsi="仿宋_GB2312" w:eastAsia="仿宋_GB2312" w:cs="仿宋_GB2312"/>
          <w:b w:val="0"/>
          <w:bCs w:val="0"/>
          <w:color w:val="auto"/>
          <w:sz w:val="28"/>
          <w:szCs w:val="28"/>
          <w:u w:val="none"/>
        </w:rPr>
        <w:t>个月内</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lang w:val="en-US" w:eastAsia="zh-CN"/>
        </w:rPr>
        <w:t>2021年9月11日前</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rPr>
        <w:t>交地并签订交地确认书</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color w:val="auto"/>
          <w:sz w:val="28"/>
          <w:szCs w:val="28"/>
          <w:u w:val="none"/>
          <w:lang w:eastAsia="zh-CN"/>
        </w:rPr>
        <w:t>宗地</w:t>
      </w:r>
      <w:r>
        <w:rPr>
          <w:rFonts w:hint="eastAsia" w:ascii="仿宋_GB2312" w:hAnsi="仿宋_GB2312" w:eastAsia="仿宋_GB2312" w:cs="仿宋_GB2312"/>
          <w:color w:val="auto"/>
          <w:sz w:val="28"/>
          <w:szCs w:val="28"/>
          <w:u w:val="none"/>
        </w:rPr>
        <w:t>受让人应在202</w:t>
      </w: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6</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11</w:t>
      </w:r>
      <w:r>
        <w:rPr>
          <w:rFonts w:hint="eastAsia" w:ascii="仿宋_GB2312" w:hAnsi="仿宋_GB2312" w:eastAsia="仿宋_GB2312" w:cs="仿宋_GB2312"/>
          <w:color w:val="auto"/>
          <w:sz w:val="28"/>
          <w:szCs w:val="28"/>
          <w:u w:val="none"/>
        </w:rPr>
        <w:t>日之前（交付土地之日起9个月内）开工</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lang w:val="en-US" w:eastAsia="zh-CN"/>
        </w:rPr>
        <w:t>应在2024年6月11日之前</w:t>
      </w:r>
      <w:r>
        <w:rPr>
          <w:rFonts w:hint="eastAsia" w:ascii="仿宋_GB2312" w:hAnsi="仿宋_GB2312" w:eastAsia="仿宋_GB2312" w:cs="仿宋_GB2312"/>
          <w:b w:val="0"/>
          <w:bCs w:val="0"/>
          <w:color w:val="auto"/>
          <w:sz w:val="28"/>
          <w:szCs w:val="28"/>
          <w:u w:val="none"/>
        </w:rPr>
        <w:t>（双方约定的开工之日起</w:t>
      </w:r>
      <w:r>
        <w:rPr>
          <w:rFonts w:hint="eastAsia" w:ascii="仿宋_GB2312" w:hAnsi="仿宋_GB2312" w:eastAsia="仿宋_GB2312" w:cs="仿宋_GB2312"/>
          <w:b w:val="0"/>
          <w:bCs w:val="0"/>
          <w:i w:val="0"/>
          <w:iCs w:val="0"/>
          <w:color w:val="auto"/>
          <w:sz w:val="28"/>
          <w:szCs w:val="28"/>
          <w:u w:val="none"/>
          <w:lang w:val="en-US" w:eastAsia="zh-CN"/>
        </w:rPr>
        <w:t>24</w:t>
      </w:r>
      <w:r>
        <w:rPr>
          <w:rFonts w:hint="eastAsia" w:ascii="仿宋_GB2312" w:hAnsi="仿宋_GB2312" w:eastAsia="仿宋_GB2312" w:cs="仿宋_GB2312"/>
          <w:b w:val="0"/>
          <w:bCs w:val="0"/>
          <w:i w:val="0"/>
          <w:iCs w:val="0"/>
          <w:color w:val="auto"/>
          <w:sz w:val="28"/>
          <w:szCs w:val="28"/>
          <w:u w:val="none"/>
        </w:rPr>
        <w:t>个月</w:t>
      </w:r>
      <w:r>
        <w:rPr>
          <w:rFonts w:hint="eastAsia" w:ascii="仿宋_GB2312" w:hAnsi="仿宋_GB2312" w:eastAsia="仿宋_GB2312" w:cs="仿宋_GB2312"/>
          <w:b w:val="0"/>
          <w:bCs w:val="0"/>
          <w:color w:val="auto"/>
          <w:sz w:val="28"/>
          <w:szCs w:val="28"/>
          <w:u w:val="none"/>
        </w:rPr>
        <w:t>内）竣工</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lang w:val="en-US" w:eastAsia="zh-CN"/>
        </w:rPr>
        <w:t>2021-04号宗地</w:t>
      </w:r>
      <w:r>
        <w:rPr>
          <w:rFonts w:hint="eastAsia" w:ascii="仿宋_GB2312" w:hAnsi="仿宋_GB2312" w:eastAsia="仿宋_GB2312" w:cs="仿宋_GB2312"/>
          <w:b w:val="0"/>
          <w:bCs w:val="0"/>
          <w:color w:val="auto"/>
          <w:sz w:val="28"/>
          <w:szCs w:val="28"/>
          <w:u w:val="none"/>
        </w:rPr>
        <w:t>交地时间自土地出让金缴清之日起</w:t>
      </w:r>
      <w:r>
        <w:rPr>
          <w:rFonts w:hint="eastAsia" w:ascii="仿宋_GB2312" w:hAnsi="仿宋_GB2312" w:eastAsia="仿宋_GB2312" w:cs="仿宋_GB2312"/>
          <w:b w:val="0"/>
          <w:bCs w:val="0"/>
          <w:color w:val="auto"/>
          <w:sz w:val="28"/>
          <w:szCs w:val="28"/>
          <w:u w:val="none"/>
          <w:lang w:val="en-US" w:eastAsia="zh-CN"/>
        </w:rPr>
        <w:t>1</w:t>
      </w:r>
      <w:r>
        <w:rPr>
          <w:rFonts w:hint="eastAsia" w:ascii="仿宋_GB2312" w:hAnsi="仿宋_GB2312" w:eastAsia="仿宋_GB2312" w:cs="仿宋_GB2312"/>
          <w:b w:val="0"/>
          <w:bCs w:val="0"/>
          <w:color w:val="auto"/>
          <w:sz w:val="28"/>
          <w:szCs w:val="28"/>
          <w:u w:val="none"/>
        </w:rPr>
        <w:t>个月内</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lang w:val="en-US" w:eastAsia="zh-CN"/>
        </w:rPr>
        <w:t>2021年8月11日前</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rPr>
        <w:t>交地并签订交地确认书</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color w:val="auto"/>
          <w:sz w:val="28"/>
          <w:szCs w:val="28"/>
          <w:u w:val="none"/>
          <w:lang w:eastAsia="zh-CN"/>
        </w:rPr>
        <w:t>宗地</w:t>
      </w:r>
      <w:r>
        <w:rPr>
          <w:rFonts w:hint="eastAsia" w:ascii="仿宋_GB2312" w:hAnsi="仿宋_GB2312" w:eastAsia="仿宋_GB2312" w:cs="仿宋_GB2312"/>
          <w:color w:val="auto"/>
          <w:sz w:val="28"/>
          <w:szCs w:val="28"/>
          <w:u w:val="none"/>
        </w:rPr>
        <w:t>受让人应在202</w:t>
      </w: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5</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11</w:t>
      </w:r>
      <w:r>
        <w:rPr>
          <w:rFonts w:hint="eastAsia" w:ascii="仿宋_GB2312" w:hAnsi="仿宋_GB2312" w:eastAsia="仿宋_GB2312" w:cs="仿宋_GB2312"/>
          <w:color w:val="auto"/>
          <w:sz w:val="28"/>
          <w:szCs w:val="28"/>
          <w:u w:val="none"/>
        </w:rPr>
        <w:t>日之前（交付土地之日起9个月内）开工</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lang w:val="en-US" w:eastAsia="zh-CN"/>
        </w:rPr>
        <w:t>应在2024年5月11日之前</w:t>
      </w:r>
      <w:r>
        <w:rPr>
          <w:rFonts w:hint="eastAsia" w:ascii="仿宋_GB2312" w:hAnsi="仿宋_GB2312" w:eastAsia="仿宋_GB2312" w:cs="仿宋_GB2312"/>
          <w:b w:val="0"/>
          <w:bCs w:val="0"/>
          <w:color w:val="auto"/>
          <w:sz w:val="28"/>
          <w:szCs w:val="28"/>
          <w:u w:val="none"/>
        </w:rPr>
        <w:t>（双方约定的开工之日起</w:t>
      </w:r>
      <w:r>
        <w:rPr>
          <w:rFonts w:hint="eastAsia" w:ascii="仿宋_GB2312" w:hAnsi="仿宋_GB2312" w:eastAsia="仿宋_GB2312" w:cs="仿宋_GB2312"/>
          <w:b w:val="0"/>
          <w:bCs w:val="0"/>
          <w:i w:val="0"/>
          <w:iCs w:val="0"/>
          <w:color w:val="auto"/>
          <w:sz w:val="28"/>
          <w:szCs w:val="28"/>
          <w:u w:val="none"/>
          <w:lang w:val="en-US" w:eastAsia="zh-CN"/>
        </w:rPr>
        <w:t>24</w:t>
      </w:r>
      <w:r>
        <w:rPr>
          <w:rFonts w:hint="eastAsia" w:ascii="仿宋_GB2312" w:hAnsi="仿宋_GB2312" w:eastAsia="仿宋_GB2312" w:cs="仿宋_GB2312"/>
          <w:b w:val="0"/>
          <w:bCs w:val="0"/>
          <w:i w:val="0"/>
          <w:iCs w:val="0"/>
          <w:color w:val="auto"/>
          <w:sz w:val="28"/>
          <w:szCs w:val="28"/>
          <w:u w:val="none"/>
        </w:rPr>
        <w:t>个月</w:t>
      </w:r>
      <w:r>
        <w:rPr>
          <w:rFonts w:hint="eastAsia" w:ascii="仿宋_GB2312" w:hAnsi="仿宋_GB2312" w:eastAsia="仿宋_GB2312" w:cs="仿宋_GB2312"/>
          <w:b w:val="0"/>
          <w:bCs w:val="0"/>
          <w:color w:val="auto"/>
          <w:sz w:val="28"/>
          <w:szCs w:val="28"/>
          <w:u w:val="none"/>
        </w:rPr>
        <w:t>内）竣工</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lang w:val="en-US" w:eastAsia="zh-CN"/>
        </w:rPr>
        <w:t>宗地</w:t>
      </w:r>
      <w:r>
        <w:rPr>
          <w:rFonts w:hint="eastAsia" w:ascii="仿宋_GB2312" w:hAnsi="仿宋_GB2312" w:eastAsia="仿宋_GB2312" w:cs="仿宋_GB2312"/>
          <w:b w:val="0"/>
          <w:bCs w:val="0"/>
          <w:color w:val="auto"/>
          <w:sz w:val="28"/>
          <w:szCs w:val="28"/>
          <w:u w:val="none"/>
          <w:lang w:eastAsia="zh-CN"/>
        </w:rPr>
        <w:t>开工、竣工日期每延缓一天，出让人向受让人收取土地出让金总额的0.5‰违约金。</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6、</w:t>
      </w:r>
      <w:r>
        <w:rPr>
          <w:rFonts w:hint="eastAsia" w:ascii="仿宋_GB2312" w:hAnsi="仿宋_GB2312" w:eastAsia="仿宋_GB2312" w:cs="仿宋_GB2312"/>
          <w:color w:val="auto"/>
          <w:sz w:val="28"/>
          <w:szCs w:val="28"/>
          <w:u w:val="none"/>
        </w:rPr>
        <w:t>开发企业商品房销售价格必须按房地产调控政策规定报备价格主管部门，按照“一房一价”和明码标价的原则公示商品房销售价格。为促进房地产市场平稳健康发展，加强商品房预售监管，国家部委规定商品房预售许可条件必须满足“投入开发建设的资金应达到工程建设总投资的25%以上”，根据榕政办〔2016〕180号《福州市人民政府办公厅关于印发福州市进一步促进房地产市场平稳健康发展若干意见的通知》文件精神，该条件明确为建筑主体施工形象进度达到总层数的三分之一（含地下部分）。开发企业申请办理商品房预售许可时，已经缴纳的土地出让金不纳入开发建设资金计算范畴。经营性房地产项目在办理土地抵押期间暂缓办理商品房预售许可，允许经营性房地产用地分批办理解押、分批办理预售许可。</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hint="eastAsia" w:ascii="仿宋_GB2312" w:eastAsia="仿宋_GB2312"/>
          <w:color w:val="auto"/>
          <w:sz w:val="28"/>
          <w:szCs w:val="28"/>
          <w:u w:val="none"/>
        </w:rPr>
      </w:pPr>
      <w:r>
        <w:rPr>
          <w:rFonts w:hint="eastAsia" w:ascii="仿宋_GB2312" w:eastAsia="仿宋_GB2312"/>
          <w:color w:val="auto"/>
          <w:sz w:val="28"/>
          <w:szCs w:val="28"/>
          <w:u w:val="none"/>
        </w:rPr>
        <w:t>项目建设单位在申请规划行政审批时应作出书面承诺，严格按照规划许可内容组织项目建设。对擅自变更规划条件违法建设的业主、施工、设计、监理等失信单位，按归口管理原则列入诚信系统黑名单，并依法处置（包括暂缓办理预售许可、暂停承接项目等）。今后如果有出台新政策，届时将按新出台政策文件执行。</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hint="eastAsia" w:ascii="仿宋_GB2312" w:eastAsia="仿宋_GB2312"/>
          <w:color w:val="auto"/>
          <w:sz w:val="28"/>
          <w:szCs w:val="28"/>
          <w:u w:val="none"/>
        </w:rPr>
      </w:pPr>
      <w:r>
        <w:rPr>
          <w:rFonts w:hint="eastAsia" w:ascii="仿宋_GB2312" w:eastAsia="仿宋_GB2312"/>
          <w:color w:val="auto"/>
          <w:sz w:val="28"/>
          <w:szCs w:val="28"/>
          <w:u w:val="none"/>
        </w:rPr>
        <w:t>闽侯县人民政府有权根据《闽侯县商品房预售资金监管办法（修改）》（侯政办〔2020〕134号）文件精神，对出让宗地商品房预售资金进行监管，确保专款专用。房地产开发企业在申请预售许可前，应在本县选择商业银行作为商品房预售资金监管银行，开设预售资金监管账户，并按规定缴存、使用预售资金，县住建局等部门对房地产开发企业存在不按规定缴存、使用预售资金的情形，将根据《福建省房地产市场“双随机”检查办法》（闽建〔2018〕10号）、《闽侯县商品房预售资金监管办法（修改）》（侯政办〔2020〕134号）等相关规定进行处理。</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7</w:t>
      </w:r>
      <w:r>
        <w:rPr>
          <w:rFonts w:hint="eastAsia" w:ascii="仿宋_GB2312" w:hAnsi="仿宋_GB2312" w:eastAsia="仿宋_GB2312" w:cs="仿宋_GB2312"/>
          <w:color w:val="auto"/>
          <w:sz w:val="28"/>
          <w:szCs w:val="28"/>
          <w:u w:val="none"/>
        </w:rPr>
        <w:t>、本次现场踏勘由申请竞买者自行进行。竞买人向竞得人申请竞买的，视为对该宗地现状无异议。</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、本次公开出让土地的详细资料和具体要求，见出让文件。本公告与出让文件内容不一致的，以出让文件为准。</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 xml:space="preserve">、报名前竞买者须按以下的账户缴交竞买保证金：户名：闽侯县公共资源交易服务中心 </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（1）账号：411775353560 开户银行：中国银行闽侯分行（2） 账号：100056220690010002 开户银行：海峡银行闽侯支行（3）账号：9010718010010000011114  开户银行：福清汇通农商银行闽侯支行（4）账号：8111301011600397944  开户银行：中信银行闽侯支行（5）账号：1402030129601107978   开户银行：工商银行闽侯支行（6）账号：35050161660709555555  开户银行：建设银行闽侯支行（7）账号：118390100100006038  开户银行：兴业银行闽侯支行</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lang w:eastAsia="zh-CN"/>
        </w:rPr>
        <w:t>）外汇汇入</w:t>
      </w:r>
      <w:r>
        <w:rPr>
          <w:rFonts w:hint="eastAsia" w:ascii="仿宋_GB2312" w:hAnsi="仿宋_GB2312" w:eastAsia="仿宋_GB2312" w:cs="仿宋_GB2312"/>
          <w:color w:val="auto"/>
          <w:sz w:val="28"/>
          <w:szCs w:val="28"/>
          <w:u w:val="none"/>
        </w:rPr>
        <w:t>账号：</w:t>
      </w:r>
      <w:r>
        <w:rPr>
          <w:rFonts w:hint="eastAsia" w:ascii="仿宋_GB2312" w:hAnsi="仿宋_GB2312" w:eastAsia="仿宋_GB2312" w:cs="仿宋_GB2312"/>
          <w:color w:val="auto"/>
          <w:sz w:val="28"/>
          <w:szCs w:val="28"/>
          <w:u w:val="none"/>
          <w:lang w:val="en-US" w:eastAsia="zh-CN"/>
        </w:rPr>
        <w:t>35050161660700001200 开户银行：中国建设银行股份有限公司闽侯支行</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b/>
          <w:color w:val="auto"/>
          <w:sz w:val="28"/>
          <w:szCs w:val="28"/>
          <w:u w:val="none"/>
        </w:rPr>
        <w:t>联系电话：</w:t>
      </w:r>
      <w:r>
        <w:rPr>
          <w:rFonts w:hint="eastAsia" w:ascii="仿宋_GB2312" w:hAnsi="仿宋_GB2312" w:eastAsia="仿宋_GB2312" w:cs="仿宋_GB2312"/>
          <w:color w:val="auto"/>
          <w:sz w:val="28"/>
          <w:szCs w:val="28"/>
          <w:u w:val="none"/>
        </w:rPr>
        <w:t>闽侯县公共资源交易服务中心    0591-22063699</w:t>
      </w:r>
    </w:p>
    <w:p>
      <w:pPr>
        <w:keepNext w:val="0"/>
        <w:keepLines w:val="0"/>
        <w:pageBreakBefore w:val="0"/>
        <w:widowControl w:val="0"/>
        <w:kinsoku/>
        <w:wordWrap/>
        <w:overflowPunct/>
        <w:topLinePunct w:val="0"/>
        <w:autoSpaceDE/>
        <w:autoSpaceDN/>
        <w:bidi w:val="0"/>
        <w:adjustRightInd/>
        <w:snapToGrid/>
        <w:spacing w:line="440" w:lineRule="exact"/>
        <w:ind w:firstLine="19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闽侯县自然资源和规划局        0591—22075081、0591—22064299</w:t>
      </w:r>
    </w:p>
    <w:p>
      <w:pPr>
        <w:keepNext w:val="0"/>
        <w:keepLines w:val="0"/>
        <w:pageBreakBefore w:val="0"/>
        <w:widowControl w:val="0"/>
        <w:kinsoku/>
        <w:wordWrap/>
        <w:overflowPunct/>
        <w:topLinePunct w:val="0"/>
        <w:autoSpaceDE/>
        <w:autoSpaceDN/>
        <w:bidi w:val="0"/>
        <w:adjustRightInd/>
        <w:snapToGrid/>
        <w:spacing w:line="440" w:lineRule="exact"/>
        <w:ind w:firstLine="19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网址：</w:t>
      </w:r>
      <w:r>
        <w:rPr>
          <w:color w:val="auto"/>
          <w:u w:val="none"/>
        </w:rPr>
        <w:fldChar w:fldCharType="begin"/>
      </w:r>
      <w:r>
        <w:rPr>
          <w:color w:val="auto"/>
          <w:u w:val="none"/>
        </w:rPr>
        <w:instrText xml:space="preserve"> HYPERLINK "http://www.landchina.com/" </w:instrText>
      </w:r>
      <w:r>
        <w:rPr>
          <w:color w:val="auto"/>
          <w:u w:val="none"/>
        </w:rPr>
        <w:fldChar w:fldCharType="separate"/>
      </w:r>
      <w:r>
        <w:rPr>
          <w:rStyle w:val="7"/>
          <w:rFonts w:hint="eastAsia" w:ascii="仿宋_GB2312" w:hAnsi="仿宋_GB2312" w:eastAsia="仿宋_GB2312" w:cs="仿宋_GB2312"/>
          <w:color w:val="auto"/>
          <w:sz w:val="28"/>
          <w:szCs w:val="28"/>
          <w:u w:val="none"/>
        </w:rPr>
        <w:t>http://www.landchina.com/</w:t>
      </w:r>
      <w:r>
        <w:rPr>
          <w:rStyle w:val="7"/>
          <w:rFonts w:hint="eastAsia" w:ascii="仿宋_GB2312" w:hAnsi="仿宋_GB2312" w:eastAsia="仿宋_GB2312" w:cs="仿宋_GB2312"/>
          <w:color w:val="auto"/>
          <w:sz w:val="28"/>
          <w:szCs w:val="28"/>
          <w:u w:val="none"/>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28"/>
          <w:szCs w:val="28"/>
          <w:u w:val="none"/>
        </w:rPr>
        <w:t xml:space="preserve">                                                  </w:t>
      </w:r>
      <w:r>
        <w:rPr>
          <w:rFonts w:hint="eastAsia" w:ascii="仿宋_GB2312" w:hAnsi="仿宋_GB2312" w:eastAsia="仿宋_GB2312" w:cs="仿宋_GB2312"/>
          <w:color w:val="auto"/>
          <w:sz w:val="30"/>
          <w:szCs w:val="30"/>
          <w:u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40" w:lineRule="exact"/>
        <w:ind w:firstLine="7200" w:firstLineChars="2400"/>
        <w:textAlignment w:val="auto"/>
        <w:rPr>
          <w:rFonts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 xml:space="preserve">    </w:t>
      </w:r>
      <w:r>
        <w:rPr>
          <w:rFonts w:hint="eastAsia" w:ascii="仿宋_GB2312" w:hAnsi="仿宋_GB2312" w:eastAsia="仿宋_GB2312" w:cs="仿宋_GB2312"/>
          <w:color w:val="auto"/>
          <w:sz w:val="30"/>
          <w:szCs w:val="30"/>
          <w:u w:val="none"/>
          <w:lang w:val="en-US" w:eastAsia="zh-CN"/>
        </w:rPr>
        <w:t xml:space="preserve">               </w:t>
      </w:r>
      <w:r>
        <w:rPr>
          <w:rFonts w:hint="eastAsia" w:ascii="仿宋_GB2312" w:hAnsi="仿宋_GB2312" w:eastAsia="仿宋_GB2312" w:cs="仿宋_GB2312"/>
          <w:color w:val="auto"/>
          <w:sz w:val="30"/>
          <w:szCs w:val="30"/>
          <w:u w:val="none"/>
        </w:rPr>
        <w:t>闽侯县自然资源和规划局</w:t>
      </w:r>
    </w:p>
    <w:p>
      <w:pPr>
        <w:keepNext w:val="0"/>
        <w:keepLines w:val="0"/>
        <w:pageBreakBefore w:val="0"/>
        <w:kinsoku/>
        <w:wordWrap/>
        <w:overflowPunct/>
        <w:topLinePunct w:val="0"/>
        <w:autoSpaceDE/>
        <w:autoSpaceDN/>
        <w:bidi w:val="0"/>
        <w:adjustRightInd/>
        <w:snapToGrid/>
        <w:spacing w:line="440" w:lineRule="exact"/>
        <w:textAlignment w:val="auto"/>
        <w:rPr>
          <w:color w:val="auto"/>
          <w:u w:val="none"/>
        </w:rPr>
      </w:pPr>
      <w:r>
        <w:rPr>
          <w:rFonts w:hint="eastAsia" w:ascii="仿宋_GB2312" w:hAnsi="仿宋_GB2312" w:eastAsia="仿宋_GB2312" w:cs="仿宋_GB2312"/>
          <w:color w:val="auto"/>
          <w:sz w:val="30"/>
          <w:szCs w:val="30"/>
          <w:u w:val="none"/>
        </w:rPr>
        <w:t xml:space="preserve">                                                                        202</w:t>
      </w:r>
      <w:r>
        <w:rPr>
          <w:rFonts w:hint="eastAsia" w:ascii="仿宋_GB2312" w:hAnsi="仿宋_GB2312" w:eastAsia="仿宋_GB2312" w:cs="仿宋_GB2312"/>
          <w:color w:val="auto"/>
          <w:sz w:val="30"/>
          <w:szCs w:val="30"/>
          <w:u w:val="none"/>
          <w:lang w:val="en-US" w:eastAsia="zh-CN"/>
        </w:rPr>
        <w:t>1</w:t>
      </w:r>
      <w:r>
        <w:rPr>
          <w:rFonts w:hint="eastAsia" w:ascii="仿宋_GB2312" w:hAnsi="仿宋_GB2312" w:eastAsia="仿宋_GB2312" w:cs="仿宋_GB2312"/>
          <w:color w:val="auto"/>
          <w:sz w:val="30"/>
          <w:szCs w:val="30"/>
          <w:u w:val="none"/>
        </w:rPr>
        <w:t>年</w:t>
      </w:r>
      <w:r>
        <w:rPr>
          <w:rFonts w:hint="eastAsia" w:ascii="仿宋_GB2312" w:hAnsi="仿宋_GB2312" w:eastAsia="仿宋_GB2312" w:cs="仿宋_GB2312"/>
          <w:color w:val="auto"/>
          <w:sz w:val="30"/>
          <w:szCs w:val="30"/>
          <w:u w:val="none"/>
          <w:lang w:val="en-US" w:eastAsia="zh-CN"/>
        </w:rPr>
        <w:t>4</w:t>
      </w:r>
      <w:r>
        <w:rPr>
          <w:rFonts w:hint="eastAsia" w:ascii="仿宋_GB2312" w:hAnsi="仿宋_GB2312" w:eastAsia="仿宋_GB2312" w:cs="仿宋_GB2312"/>
          <w:color w:val="auto"/>
          <w:sz w:val="30"/>
          <w:szCs w:val="30"/>
          <w:u w:val="none"/>
        </w:rPr>
        <w:t>月</w:t>
      </w:r>
      <w:r>
        <w:rPr>
          <w:rFonts w:hint="eastAsia" w:ascii="仿宋_GB2312" w:hAnsi="仿宋_GB2312" w:eastAsia="仿宋_GB2312" w:cs="仿宋_GB2312"/>
          <w:color w:val="auto"/>
          <w:sz w:val="30"/>
          <w:szCs w:val="30"/>
          <w:u w:val="none"/>
          <w:lang w:val="en-US" w:eastAsia="zh-CN"/>
        </w:rPr>
        <w:t>9</w:t>
      </w:r>
      <w:r>
        <w:rPr>
          <w:rFonts w:hint="eastAsia" w:ascii="仿宋_GB2312" w:hAnsi="仿宋_GB2312" w:eastAsia="仿宋_GB2312" w:cs="仿宋_GB2312"/>
          <w:color w:val="auto"/>
          <w:sz w:val="30"/>
          <w:szCs w:val="30"/>
          <w:u w:val="none"/>
        </w:rPr>
        <w:t>日</w:t>
      </w:r>
    </w:p>
    <w:sectPr>
      <w:footerReference r:id="rId3" w:type="default"/>
      <w:footerReference r:id="rId4" w:type="even"/>
      <w:pgSz w:w="16840" w:h="11907" w:orient="landscape"/>
      <w:pgMar w:top="1134" w:right="1304" w:bottom="850" w:left="1304" w:header="1701" w:footer="1134" w:gutter="0"/>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微软雅黑"/>
    <w:panose1 w:val="00000000000000000000"/>
    <w:charset w:val="00"/>
    <w:family w:val="auto"/>
    <w:pitch w:val="default"/>
    <w:sig w:usb0="00000000" w:usb1="00000000" w:usb2="00000000" w:usb3="00000000" w:csb0="FFFFFF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hAnsi="Times New Roman"/>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jc w:val="left"/>
      <w:rPr>
        <w:rStyle w:val="6"/>
        <w:rFonts w:ascii="??_GB2312" w:hAnsi="Times New Roman"/>
        <w:sz w:val="18"/>
        <w:szCs w:val="18"/>
      </w:rPr>
    </w:pPr>
    <w:r>
      <w:fldChar w:fldCharType="begin"/>
    </w:r>
    <w:r>
      <w:instrText xml:space="preserve">PAGE  \* MERGEFORMAT</w:instrText>
    </w:r>
    <w:r>
      <w:fldChar w:fldCharType="separate"/>
    </w:r>
    <w:r>
      <w:rPr>
        <w:rStyle w:val="6"/>
        <w:rFonts w:ascii="??_GB2312" w:hAnsi="Times New Roman"/>
        <w:sz w:val="18"/>
        <w:szCs w:val="18"/>
      </w:rPr>
      <w:t>1</w:t>
    </w:r>
    <w:r>
      <w:rPr>
        <w:rStyle w:val="6"/>
        <w:rFonts w:ascii="??_GB2312" w:hAnsi="Times New Roman"/>
        <w:sz w:val="18"/>
        <w:szCs w:val="18"/>
      </w:rPr>
      <w:fldChar w:fldCharType="end"/>
    </w:r>
  </w:p>
  <w:p>
    <w:pPr>
      <w:pStyle w:val="2"/>
      <w:snapToGrid w:val="0"/>
      <w:jc w:val="left"/>
      <w:rPr>
        <w:rFonts w:hAnsi="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520F3"/>
    <w:multiLevelType w:val="singleLevel"/>
    <w:tmpl w:val="829520F3"/>
    <w:lvl w:ilvl="0" w:tentative="0">
      <w:start w:val="1"/>
      <w:numFmt w:val="decimal"/>
      <w:suff w:val="nothing"/>
      <w:lvlText w:val="%1、"/>
      <w:lvlJc w:val="left"/>
    </w:lvl>
  </w:abstractNum>
  <w:abstractNum w:abstractNumId="1">
    <w:nsid w:val="31B58CBB"/>
    <w:multiLevelType w:val="singleLevel"/>
    <w:tmpl w:val="31B58CBB"/>
    <w:lvl w:ilvl="0" w:tentative="0">
      <w:start w:val="1"/>
      <w:numFmt w:val="chineseCounting"/>
      <w:suff w:val="nothing"/>
      <w:lvlText w:val="（%1）"/>
      <w:lvlJc w:val="left"/>
      <w:rPr>
        <w:rFonts w:hint="eastAsia"/>
      </w:rPr>
    </w:lvl>
  </w:abstractNum>
  <w:abstractNum w:abstractNumId="2">
    <w:nsid w:val="551F2D9A"/>
    <w:multiLevelType w:val="singleLevel"/>
    <w:tmpl w:val="551F2D9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34BB7"/>
    <w:rsid w:val="01C80C4C"/>
    <w:rsid w:val="01CF6F6F"/>
    <w:rsid w:val="055E05BC"/>
    <w:rsid w:val="061149A7"/>
    <w:rsid w:val="064A1124"/>
    <w:rsid w:val="066C7C7A"/>
    <w:rsid w:val="0A22776F"/>
    <w:rsid w:val="0A992A91"/>
    <w:rsid w:val="0C834A5E"/>
    <w:rsid w:val="0E513010"/>
    <w:rsid w:val="0F116913"/>
    <w:rsid w:val="10C979FA"/>
    <w:rsid w:val="11912CA9"/>
    <w:rsid w:val="12173BBB"/>
    <w:rsid w:val="15F72332"/>
    <w:rsid w:val="167E5DD4"/>
    <w:rsid w:val="17146EF1"/>
    <w:rsid w:val="1715166C"/>
    <w:rsid w:val="190D251F"/>
    <w:rsid w:val="1C1B7E4A"/>
    <w:rsid w:val="1D0627F2"/>
    <w:rsid w:val="20F77B6F"/>
    <w:rsid w:val="21253F24"/>
    <w:rsid w:val="234678B4"/>
    <w:rsid w:val="255F7558"/>
    <w:rsid w:val="258F0781"/>
    <w:rsid w:val="25BA14D9"/>
    <w:rsid w:val="27A4727A"/>
    <w:rsid w:val="287A0D0D"/>
    <w:rsid w:val="28D150CC"/>
    <w:rsid w:val="2A195E73"/>
    <w:rsid w:val="2A747EB5"/>
    <w:rsid w:val="2B323C4F"/>
    <w:rsid w:val="2B851719"/>
    <w:rsid w:val="2BB47333"/>
    <w:rsid w:val="2C4E75D2"/>
    <w:rsid w:val="2C55595A"/>
    <w:rsid w:val="2C78751F"/>
    <w:rsid w:val="2DA222DF"/>
    <w:rsid w:val="2DA274F9"/>
    <w:rsid w:val="32116775"/>
    <w:rsid w:val="334D0E34"/>
    <w:rsid w:val="341C30AF"/>
    <w:rsid w:val="3507094F"/>
    <w:rsid w:val="355178B1"/>
    <w:rsid w:val="3559514D"/>
    <w:rsid w:val="36330763"/>
    <w:rsid w:val="36646DD7"/>
    <w:rsid w:val="368A3986"/>
    <w:rsid w:val="36912547"/>
    <w:rsid w:val="38965B87"/>
    <w:rsid w:val="39D6623B"/>
    <w:rsid w:val="3B277840"/>
    <w:rsid w:val="3B685A40"/>
    <w:rsid w:val="3C0D1D54"/>
    <w:rsid w:val="3C895AFE"/>
    <w:rsid w:val="3DC815F1"/>
    <w:rsid w:val="3DFF4ED9"/>
    <w:rsid w:val="41993A2B"/>
    <w:rsid w:val="41994BB7"/>
    <w:rsid w:val="457E7152"/>
    <w:rsid w:val="476A4EDC"/>
    <w:rsid w:val="47D90FBB"/>
    <w:rsid w:val="49151C90"/>
    <w:rsid w:val="4A37256F"/>
    <w:rsid w:val="4AAF4420"/>
    <w:rsid w:val="4ACE021D"/>
    <w:rsid w:val="4C1B248E"/>
    <w:rsid w:val="4C885989"/>
    <w:rsid w:val="4D0406DF"/>
    <w:rsid w:val="4D6F7E2D"/>
    <w:rsid w:val="4DCE768A"/>
    <w:rsid w:val="4EE025E0"/>
    <w:rsid w:val="4F347EDC"/>
    <w:rsid w:val="4F8041E9"/>
    <w:rsid w:val="5022039C"/>
    <w:rsid w:val="5481575D"/>
    <w:rsid w:val="55935008"/>
    <w:rsid w:val="55F45B80"/>
    <w:rsid w:val="58872B65"/>
    <w:rsid w:val="5A542964"/>
    <w:rsid w:val="5C9A2C35"/>
    <w:rsid w:val="5CF5355C"/>
    <w:rsid w:val="5D504B33"/>
    <w:rsid w:val="600A02F9"/>
    <w:rsid w:val="635F4DD1"/>
    <w:rsid w:val="643E3749"/>
    <w:rsid w:val="64516CA9"/>
    <w:rsid w:val="653B6ABD"/>
    <w:rsid w:val="66406310"/>
    <w:rsid w:val="67B11601"/>
    <w:rsid w:val="68AA1338"/>
    <w:rsid w:val="68AD1AA5"/>
    <w:rsid w:val="69FF6533"/>
    <w:rsid w:val="6BFC69AB"/>
    <w:rsid w:val="6C6725B1"/>
    <w:rsid w:val="6C834BB7"/>
    <w:rsid w:val="6EA41654"/>
    <w:rsid w:val="6F4E3B44"/>
    <w:rsid w:val="703376BA"/>
    <w:rsid w:val="72A51EAC"/>
    <w:rsid w:val="73E710C5"/>
    <w:rsid w:val="73F87203"/>
    <w:rsid w:val="7433360B"/>
    <w:rsid w:val="761C1FC1"/>
    <w:rsid w:val="76E65F15"/>
    <w:rsid w:val="77542394"/>
    <w:rsid w:val="7ABA48B7"/>
    <w:rsid w:val="7B053523"/>
    <w:rsid w:val="7B402BE9"/>
    <w:rsid w:val="7B805874"/>
    <w:rsid w:val="7C53290F"/>
    <w:rsid w:val="7C8750B4"/>
    <w:rsid w:val="7E087F27"/>
    <w:rsid w:val="7E382A6A"/>
    <w:rsid w:val="7FD438BA"/>
    <w:rsid w:val="7FE5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rFonts w:ascii="??_GB2312" w:hAnsi="??_GB2312" w:eastAsia="Times New Roman"/>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宋体" w:hAnsi="宋体" w:eastAsia="Times New Roman"/>
      <w:w w:val="100"/>
      <w:sz w:val="20"/>
      <w:szCs w:val="20"/>
      <w:shd w:val="clear" w:color="auto" w:fill="auto"/>
    </w:rPr>
  </w:style>
  <w:style w:type="character" w:styleId="7">
    <w:name w:val="Hyperlink"/>
    <w:basedOn w:val="5"/>
    <w:qFormat/>
    <w:uiPriority w:val="0"/>
    <w:rPr>
      <w:rFonts w:ascii="宋体" w:hAnsi="宋体" w:eastAsia="Times New Roman"/>
      <w:color w:val="0000FF"/>
      <w:w w:val="100"/>
      <w:sz w:val="20"/>
      <w:szCs w:val="20"/>
      <w:u w:val="single"/>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2020-11-17T01:05:00Z</dcterms:created>
  <dc:creator>Chen。</dc:creator>
  <cp:lastModifiedBy>Chen。</cp:lastModifiedBy>
  <cp:lastPrinted>2021-04-06T03:06:00Z</cp:lastPrinted>
  <dcterms:modified xsi:type="dcterms:W3CDTF">2021-04-12T00:19:05Z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