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A4EAA1">
      <w:pPr>
        <w:pStyle w:val="8"/>
        <w:keepNext w:val="0"/>
        <w:keepLines w:val="0"/>
        <w:pageBreakBefore w:val="0"/>
        <w:kinsoku/>
        <w:overflowPunct/>
        <w:topLinePunct w:val="0"/>
        <w:autoSpaceDE/>
        <w:autoSpaceDN/>
        <w:bidi w:val="0"/>
        <w:adjustRightInd/>
        <w:snapToGrid/>
        <w:spacing w:line="560" w:lineRule="exact"/>
        <w:ind w:left="0" w:leftChars="0" w:firstLine="0" w:firstLineChars="0"/>
        <w:textAlignment w:val="auto"/>
        <w:rPr>
          <w:rFonts w:hint="eastAsia"/>
        </w:rPr>
      </w:pPr>
      <w:bookmarkStart w:id="0" w:name="审查意见文号"/>
      <w:bookmarkStart w:id="1" w:name="OLE_LINK1"/>
    </w:p>
    <w:p w14:paraId="24A395D6">
      <w:pPr>
        <w:pStyle w:val="8"/>
        <w:keepNext w:val="0"/>
        <w:keepLines w:val="0"/>
        <w:pageBreakBefore w:val="0"/>
        <w:kinsoku/>
        <w:overflowPunct/>
        <w:topLinePunct w:val="0"/>
        <w:autoSpaceDE/>
        <w:autoSpaceDN/>
        <w:bidi w:val="0"/>
        <w:adjustRightInd/>
        <w:snapToGrid/>
        <w:spacing w:line="560" w:lineRule="exact"/>
        <w:ind w:left="0" w:leftChars="0" w:firstLine="0" w:firstLineChars="0"/>
        <w:textAlignment w:val="auto"/>
        <w:rPr>
          <w:rFonts w:hint="eastAsia"/>
        </w:rPr>
      </w:pPr>
    </w:p>
    <w:p w14:paraId="4B7D3ABC">
      <w:pPr>
        <w:pStyle w:val="8"/>
        <w:keepNext w:val="0"/>
        <w:keepLines w:val="0"/>
        <w:pageBreakBefore w:val="0"/>
        <w:kinsoku/>
        <w:overflowPunct/>
        <w:topLinePunct w:val="0"/>
        <w:autoSpaceDE/>
        <w:autoSpaceDN/>
        <w:bidi w:val="0"/>
        <w:adjustRightInd/>
        <w:snapToGrid/>
        <w:spacing w:line="560" w:lineRule="exact"/>
        <w:ind w:left="0" w:leftChars="0" w:firstLine="0" w:firstLineChars="0"/>
        <w:textAlignment w:val="auto"/>
        <w:rPr>
          <w:rFonts w:hint="eastAsia"/>
        </w:rPr>
      </w:pPr>
    </w:p>
    <w:p w14:paraId="7A365D4F">
      <w:pPr>
        <w:pStyle w:val="8"/>
        <w:keepNext w:val="0"/>
        <w:keepLines w:val="0"/>
        <w:pageBreakBefore w:val="0"/>
        <w:kinsoku/>
        <w:overflowPunct/>
        <w:topLinePunct w:val="0"/>
        <w:autoSpaceDE/>
        <w:autoSpaceDN/>
        <w:bidi w:val="0"/>
        <w:adjustRightInd/>
        <w:snapToGrid/>
        <w:spacing w:line="560" w:lineRule="exact"/>
        <w:ind w:left="0" w:leftChars="0" w:firstLine="0" w:firstLineChars="0"/>
        <w:textAlignment w:val="auto"/>
        <w:rPr>
          <w:rFonts w:hint="eastAsia"/>
        </w:rPr>
      </w:pPr>
    </w:p>
    <w:bookmarkEnd w:id="0"/>
    <w:p w14:paraId="15A2507F">
      <w:pPr>
        <w:keepNext w:val="0"/>
        <w:keepLines w:val="0"/>
        <w:pageBreakBefore w:val="0"/>
        <w:pBdr>
          <w:top w:val="none" w:color="auto" w:sz="0" w:space="1"/>
          <w:left w:val="none" w:color="auto" w:sz="0" w:space="4"/>
          <w:bottom w:val="none" w:color="auto" w:sz="0" w:space="1"/>
          <w:right w:val="none" w:color="auto" w:sz="0" w:space="4"/>
        </w:pBdr>
        <w:kinsoku/>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bookmarkStart w:id="2" w:name="PO_DY_DOC_SEND。docCode"/>
      <w:r>
        <w:rPr>
          <w:rFonts w:hint="eastAsia" w:ascii="仿宋_GB2312" w:hAnsi="仿宋_GB2312" w:eastAsia="仿宋_GB2312" w:cs="仿宋_GB2312"/>
          <w:sz w:val="32"/>
          <w:szCs w:val="32"/>
          <w:lang w:eastAsia="zh-CN"/>
        </w:rPr>
        <w:t>长自然</w:t>
      </w:r>
      <w:r>
        <w:rPr>
          <w:rFonts w:hint="eastAsia" w:ascii="仿宋_GB2312" w:hAnsi="仿宋_GB2312" w:eastAsia="仿宋_GB2312" w:cs="仿宋_GB2312"/>
          <w:sz w:val="32"/>
          <w:szCs w:val="32"/>
          <w:lang w:val="en-US" w:eastAsia="zh-CN"/>
        </w:rPr>
        <w:t>挂</w:t>
      </w:r>
      <w:r>
        <w:rPr>
          <w:rFonts w:hint="eastAsia" w:ascii="仿宋_GB2312" w:hAnsi="仿宋_GB2312" w:eastAsia="仿宋_GB2312" w:cs="仿宋_GB2312"/>
          <w:sz w:val="32"/>
          <w:szCs w:val="32"/>
          <w:lang w:eastAsia="zh-CN"/>
        </w:rPr>
        <w:t>〔2026〕</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lang w:eastAsia="zh-CN"/>
        </w:rPr>
        <w:t>号</w:t>
      </w:r>
      <w:bookmarkEnd w:id="2"/>
      <w:r>
        <w:rPr>
          <w:rFonts w:hint="eastAsia" w:ascii="仿宋_GB2312" w:hAnsi="仿宋_GB2312" w:eastAsia="仿宋_GB2312" w:cs="仿宋_GB2312"/>
          <w:spacing w:val="0"/>
          <w:sz w:val="32"/>
          <w:szCs w:val="32"/>
        </w:rPr>
        <w:tab/>
      </w:r>
      <w:r>
        <w:rPr>
          <w:rFonts w:hint="eastAsia" w:ascii="仿宋_GB2312" w:hAnsi="仿宋_GB2312" w:eastAsia="仿宋_GB2312" w:cs="仿宋_GB2312"/>
          <w:spacing w:val="0"/>
          <w:sz w:val="32"/>
          <w:szCs w:val="32"/>
        </w:rPr>
        <w:tab/>
      </w:r>
      <w:r>
        <w:rPr>
          <w:rFonts w:hint="eastAsia" w:ascii="仿宋_GB2312" w:hAnsi="仿宋_GB2312" w:eastAsia="仿宋_GB2312" w:cs="仿宋_GB2312"/>
          <w:spacing w:val="0"/>
          <w:sz w:val="32"/>
          <w:szCs w:val="32"/>
        </w:rPr>
        <w:tab/>
      </w:r>
      <w:r>
        <w:rPr>
          <w:rFonts w:hint="eastAsia" w:ascii="仿宋_GB2312" w:hAnsi="仿宋_GB2312" w:eastAsia="仿宋_GB2312" w:cs="仿宋_GB2312"/>
          <w:spacing w:val="0"/>
          <w:sz w:val="32"/>
          <w:szCs w:val="32"/>
        </w:rPr>
        <w:tab/>
      </w:r>
      <w:r>
        <w:rPr>
          <w:rFonts w:hint="eastAsia" w:ascii="仿宋_GB2312" w:hAnsi="仿宋_GB2312" w:eastAsia="仿宋_GB2312" w:cs="仿宋_GB2312"/>
          <w:spacing w:val="0"/>
          <w:sz w:val="32"/>
          <w:szCs w:val="32"/>
        </w:rPr>
        <w:tab/>
      </w:r>
      <w:r>
        <w:rPr>
          <w:rFonts w:hint="eastAsia" w:ascii="仿宋_GB2312" w:hAnsi="仿宋_GB2312" w:eastAsia="仿宋_GB2312" w:cs="仿宋_GB2312"/>
          <w:spacing w:val="0"/>
          <w:sz w:val="32"/>
          <w:szCs w:val="32"/>
        </w:rPr>
        <w:tab/>
      </w:r>
      <w:r>
        <w:rPr>
          <w:rFonts w:hint="eastAsia" w:ascii="仿宋_GB2312" w:hAnsi="仿宋_GB2312" w:eastAsia="仿宋_GB2312" w:cs="仿宋_GB2312"/>
          <w:spacing w:val="0"/>
          <w:sz w:val="32"/>
          <w:szCs w:val="32"/>
        </w:rPr>
        <w:tab/>
      </w:r>
      <w:r>
        <w:rPr>
          <w:rFonts w:hint="eastAsia" w:ascii="仿宋_GB2312" w:hAnsi="仿宋_GB2312" w:eastAsia="仿宋_GB2312" w:cs="仿宋_GB2312"/>
          <w:spacing w:val="0"/>
          <w:sz w:val="32"/>
          <w:szCs w:val="32"/>
        </w:rPr>
        <w:tab/>
      </w:r>
      <w:r>
        <w:rPr>
          <w:rFonts w:hint="eastAsia" w:ascii="仿宋_GB2312" w:hAnsi="仿宋_GB2312" w:eastAsia="仿宋_GB2312" w:cs="仿宋_GB2312"/>
          <w:sz w:val="32"/>
          <w:szCs w:val="32"/>
        </w:rPr>
        <w:t xml:space="preserve">签发人： </w:t>
      </w:r>
      <w:bookmarkStart w:id="3" w:name="PO_OPINION。SPR；局长签发"/>
      <w:r>
        <w:rPr>
          <w:rFonts w:hint="eastAsia" w:ascii="仿宋_GB2312" w:hAnsi="仿宋_GB2312" w:eastAsia="仿宋_GB2312" w:cs="仿宋_GB2312"/>
          <w:sz w:val="32"/>
          <w:szCs w:val="32"/>
          <w:lang w:val="en-US" w:eastAsia="zh-CN"/>
        </w:rPr>
        <w:t>陈仁友</w:t>
      </w:r>
      <w:r>
        <w:rPr>
          <w:rFonts w:hint="eastAsia" w:ascii="仿宋_GB2312" w:hAnsi="仿宋_GB2312" w:eastAsia="仿宋_GB2312" w:cs="仿宋_GB2312"/>
          <w:sz w:val="32"/>
          <w:szCs w:val="32"/>
        </w:rPr>
        <w:t xml:space="preserve"> </w:t>
      </w:r>
    </w:p>
    <w:bookmarkEnd w:id="3"/>
    <w:p w14:paraId="5DACE861">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1ABC712F">
      <w:pPr>
        <w:pStyle w:val="11"/>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pacing w:val="0"/>
          <w:kern w:val="2"/>
          <w:sz w:val="44"/>
          <w:szCs w:val="44"/>
          <w:highlight w:val="none"/>
          <w:lang w:eastAsia="zh-CN"/>
        </w:rPr>
      </w:pPr>
      <w:r>
        <w:rPr>
          <w:rFonts w:hint="eastAsia" w:ascii="方正小标宋简体" w:hAnsi="方正小标宋简体" w:eastAsia="方正小标宋简体" w:cs="方正小标宋简体"/>
          <w:spacing w:val="0"/>
          <w:kern w:val="2"/>
          <w:sz w:val="44"/>
          <w:szCs w:val="44"/>
          <w:highlight w:val="none"/>
          <w:lang w:eastAsia="zh-CN"/>
        </w:rPr>
        <w:t>福州市</w:t>
      </w:r>
      <w:bookmarkStart w:id="4" w:name="_GoBack"/>
      <w:r>
        <w:rPr>
          <w:rFonts w:hint="eastAsia" w:ascii="方正小标宋简体" w:hAnsi="方正小标宋简体" w:eastAsia="方正小标宋简体" w:cs="方正小标宋简体"/>
          <w:spacing w:val="0"/>
          <w:kern w:val="2"/>
          <w:sz w:val="44"/>
          <w:szCs w:val="44"/>
          <w:highlight w:val="none"/>
          <w:lang w:eastAsia="zh-CN"/>
        </w:rPr>
        <w:t>长乐区自然资源和规划局</w:t>
      </w:r>
    </w:p>
    <w:p w14:paraId="04D70E1C">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color w:val="000000"/>
          <w:sz w:val="44"/>
          <w:szCs w:val="44"/>
          <w:highlight w:val="none"/>
        </w:rPr>
      </w:pPr>
      <w:r>
        <w:rPr>
          <w:rFonts w:hint="eastAsia" w:ascii="方正小标宋简体" w:hAnsi="方正小标宋简体" w:eastAsia="方正小标宋简体" w:cs="方正小标宋简体"/>
          <w:b w:val="0"/>
          <w:bCs/>
          <w:color w:val="000000"/>
          <w:sz w:val="44"/>
          <w:szCs w:val="44"/>
          <w:highlight w:val="none"/>
        </w:rPr>
        <w:t>关于</w:t>
      </w:r>
      <w:r>
        <w:rPr>
          <w:rFonts w:hint="eastAsia" w:ascii="方正小标宋简体" w:hAnsi="方正小标宋简体" w:eastAsia="方正小标宋简体" w:cs="方正小标宋简体"/>
          <w:b w:val="0"/>
          <w:bCs/>
          <w:color w:val="000000"/>
          <w:sz w:val="44"/>
          <w:szCs w:val="44"/>
          <w:highlight w:val="none"/>
          <w:lang w:val="en-US" w:eastAsia="zh-CN"/>
        </w:rPr>
        <w:t>2026</w:t>
      </w:r>
      <w:r>
        <w:rPr>
          <w:rFonts w:hint="eastAsia" w:ascii="方正小标宋简体" w:hAnsi="方正小标宋简体" w:eastAsia="方正小标宋简体" w:cs="方正小标宋简体"/>
          <w:b w:val="0"/>
          <w:bCs/>
          <w:color w:val="000000"/>
          <w:sz w:val="44"/>
          <w:szCs w:val="44"/>
          <w:highlight w:val="none"/>
        </w:rPr>
        <w:t>年第</w:t>
      </w:r>
      <w:r>
        <w:rPr>
          <w:rFonts w:hint="eastAsia" w:ascii="方正小标宋简体" w:hAnsi="方正小标宋简体" w:eastAsia="方正小标宋简体" w:cs="方正小标宋简体"/>
          <w:b w:val="0"/>
          <w:bCs/>
          <w:color w:val="000000"/>
          <w:sz w:val="44"/>
          <w:szCs w:val="44"/>
          <w:highlight w:val="none"/>
          <w:lang w:eastAsia="zh-CN"/>
        </w:rPr>
        <w:t>七</w:t>
      </w:r>
      <w:r>
        <w:rPr>
          <w:rFonts w:hint="eastAsia" w:ascii="方正小标宋简体" w:hAnsi="方正小标宋简体" w:eastAsia="方正小标宋简体" w:cs="方正小标宋简体"/>
          <w:b w:val="0"/>
          <w:bCs/>
          <w:color w:val="000000"/>
          <w:sz w:val="44"/>
          <w:szCs w:val="44"/>
          <w:highlight w:val="none"/>
          <w:lang w:val="en-US" w:eastAsia="zh-CN"/>
        </w:rPr>
        <w:t>次</w:t>
      </w:r>
      <w:r>
        <w:rPr>
          <w:rFonts w:hint="eastAsia" w:ascii="方正小标宋简体" w:hAnsi="方正小标宋简体" w:eastAsia="方正小标宋简体" w:cs="方正小标宋简体"/>
          <w:b w:val="0"/>
          <w:bCs/>
          <w:color w:val="000000"/>
          <w:sz w:val="44"/>
          <w:szCs w:val="44"/>
          <w:highlight w:val="none"/>
        </w:rPr>
        <w:t>挂牌出让国有建设用地</w:t>
      </w:r>
    </w:p>
    <w:p w14:paraId="2A53B49F">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楷体_GB2312" w:hAnsi="楷体_GB2312" w:eastAsia="方正小标宋简体" w:cs="楷体_GB2312"/>
          <w:spacing w:val="0"/>
          <w:kern w:val="2"/>
          <w:sz w:val="36"/>
          <w:szCs w:val="36"/>
          <w:highlight w:val="none"/>
          <w:lang w:eastAsia="zh-CN"/>
        </w:rPr>
      </w:pPr>
      <w:r>
        <w:rPr>
          <w:rFonts w:hint="eastAsia" w:ascii="方正小标宋简体" w:hAnsi="方正小标宋简体" w:eastAsia="方正小标宋简体" w:cs="方正小标宋简体"/>
          <w:b w:val="0"/>
          <w:bCs/>
          <w:color w:val="000000"/>
          <w:sz w:val="44"/>
          <w:szCs w:val="44"/>
          <w:highlight w:val="none"/>
        </w:rPr>
        <w:t>使用权的</w:t>
      </w:r>
      <w:r>
        <w:rPr>
          <w:rFonts w:hint="eastAsia" w:ascii="方正小标宋简体" w:hAnsi="方正小标宋简体" w:eastAsia="方正小标宋简体" w:cs="方正小标宋简体"/>
          <w:b w:val="0"/>
          <w:bCs/>
          <w:color w:val="000000"/>
          <w:sz w:val="44"/>
          <w:szCs w:val="44"/>
          <w:highlight w:val="none"/>
          <w:lang w:eastAsia="zh-CN"/>
        </w:rPr>
        <w:t>公告</w:t>
      </w:r>
      <w:bookmarkEnd w:id="4"/>
    </w:p>
    <w:p w14:paraId="0618298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s="仿宋_GB2312"/>
          <w:sz w:val="32"/>
          <w:szCs w:val="32"/>
          <w:lang w:val="en-US"/>
        </w:rPr>
      </w:pPr>
      <w:r>
        <w:rPr>
          <w:rFonts w:hint="eastAsia" w:ascii="仿宋_GB2312" w:hAnsi="Times New Roman" w:eastAsia="仿宋_GB2312"/>
          <w:sz w:val="32"/>
          <w:szCs w:val="32"/>
        </w:rPr>
        <w:t xml:space="preserve">                          </w:t>
      </w:r>
      <w:r>
        <w:rPr>
          <w:rFonts w:hint="eastAsia" w:ascii="仿宋_GB2312" w:hAnsi="Times New Roman" w:eastAsia="仿宋_GB2312" w:cs="仿宋_GB2312"/>
          <w:kern w:val="2"/>
          <w:sz w:val="32"/>
          <w:szCs w:val="32"/>
          <w:lang w:val="en-US" w:eastAsia="zh-CN" w:bidi="ar"/>
        </w:rPr>
        <w:t xml:space="preserve">             </w:t>
      </w:r>
    </w:p>
    <w:p w14:paraId="796A32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Times New Roman" w:eastAsia="仿宋_GB2312" w:cs="仿宋_GB2312"/>
          <w:kern w:val="2"/>
          <w:sz w:val="32"/>
          <w:szCs w:val="32"/>
          <w:lang w:val="en-US" w:eastAsia="zh-CN" w:bidi="ar"/>
        </w:rPr>
      </w:pPr>
      <w:r>
        <w:rPr>
          <w:rFonts w:hint="eastAsia" w:ascii="仿宋_GB2312" w:hAnsi="仿宋_GB2312" w:eastAsia="仿宋_GB2312" w:cs="仿宋_GB2312"/>
          <w:color w:val="000000"/>
          <w:sz w:val="32"/>
          <w:szCs w:val="32"/>
          <w:highlight w:val="none"/>
        </w:rPr>
        <w:t>经</w:t>
      </w:r>
      <w:r>
        <w:rPr>
          <w:rFonts w:hint="eastAsia" w:ascii="仿宋_GB2312" w:hAnsi="仿宋_GB2312" w:eastAsia="仿宋_GB2312" w:cs="仿宋_GB2312"/>
          <w:color w:val="000000"/>
          <w:sz w:val="32"/>
          <w:szCs w:val="32"/>
          <w:highlight w:val="none"/>
          <w:lang w:eastAsia="zh-CN"/>
        </w:rPr>
        <w:t>福州市</w:t>
      </w:r>
      <w:r>
        <w:rPr>
          <w:rFonts w:hint="eastAsia" w:ascii="仿宋_GB2312" w:hAnsi="仿宋_GB2312" w:eastAsia="仿宋_GB2312" w:cs="仿宋_GB2312"/>
          <w:color w:val="000000"/>
          <w:sz w:val="32"/>
          <w:szCs w:val="32"/>
          <w:highlight w:val="none"/>
        </w:rPr>
        <w:t>长乐</w:t>
      </w:r>
      <w:r>
        <w:rPr>
          <w:rFonts w:hint="eastAsia" w:ascii="仿宋_GB2312" w:hAnsi="仿宋_GB2312" w:eastAsia="仿宋_GB2312" w:cs="仿宋_GB2312"/>
          <w:color w:val="000000"/>
          <w:sz w:val="32"/>
          <w:szCs w:val="32"/>
          <w:highlight w:val="none"/>
          <w:lang w:eastAsia="zh-CN"/>
        </w:rPr>
        <w:t>区</w:t>
      </w:r>
      <w:r>
        <w:rPr>
          <w:rFonts w:hint="eastAsia" w:ascii="仿宋_GB2312" w:hAnsi="仿宋_GB2312" w:eastAsia="仿宋_GB2312" w:cs="仿宋_GB2312"/>
          <w:color w:val="000000"/>
          <w:sz w:val="32"/>
          <w:szCs w:val="32"/>
          <w:highlight w:val="none"/>
        </w:rPr>
        <w:t>人民政府批准</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000000"/>
          <w:sz w:val="32"/>
          <w:szCs w:val="32"/>
          <w:highlight w:val="none"/>
          <w:lang w:eastAsia="zh-CN"/>
        </w:rPr>
        <w:t>长政综</w:t>
      </w:r>
      <w:r>
        <w:rPr>
          <w:rFonts w:hint="eastAsia" w:ascii="仿宋_GB2312" w:hAnsi="仿宋_GB2312" w:eastAsia="仿宋_GB2312" w:cs="仿宋_GB2312"/>
          <w:color w:val="000000"/>
          <w:sz w:val="32"/>
          <w:szCs w:val="32"/>
          <w:highlight w:val="none"/>
          <w:lang w:val="en-US" w:eastAsia="zh-CN"/>
        </w:rPr>
        <w:t>〔2026〕68</w:t>
      </w:r>
      <w:r>
        <w:rPr>
          <w:rFonts w:hint="eastAsia" w:ascii="仿宋_GB2312" w:hAnsi="仿宋_GB2312" w:eastAsia="仿宋_GB2312" w:cs="仿宋_GB2312"/>
          <w:color w:val="auto"/>
          <w:sz w:val="32"/>
          <w:szCs w:val="32"/>
          <w:highlight w:val="none"/>
          <w:lang w:val="en-US" w:eastAsia="zh-CN"/>
        </w:rPr>
        <w:t>号</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000000"/>
          <w:sz w:val="32"/>
          <w:szCs w:val="32"/>
          <w:highlight w:val="none"/>
        </w:rPr>
        <w:t>，</w:t>
      </w:r>
      <w:r>
        <w:rPr>
          <w:rFonts w:hint="eastAsia" w:ascii="仿宋_GB2312" w:hAnsi="仿宋_GB2312" w:eastAsia="仿宋_GB2312" w:cs="仿宋_GB2312"/>
          <w:color w:val="000000"/>
          <w:sz w:val="32"/>
          <w:szCs w:val="32"/>
          <w:highlight w:val="none"/>
          <w:lang w:eastAsia="zh-CN"/>
        </w:rPr>
        <w:t>福州市</w:t>
      </w:r>
      <w:r>
        <w:rPr>
          <w:rFonts w:hint="eastAsia" w:ascii="仿宋_GB2312" w:hAnsi="仿宋_GB2312" w:eastAsia="仿宋_GB2312" w:cs="仿宋_GB2312"/>
          <w:color w:val="000000"/>
          <w:sz w:val="32"/>
          <w:szCs w:val="32"/>
          <w:highlight w:val="none"/>
        </w:rPr>
        <w:t>长乐</w:t>
      </w:r>
      <w:r>
        <w:rPr>
          <w:rFonts w:hint="eastAsia" w:ascii="仿宋_GB2312" w:hAnsi="仿宋_GB2312" w:eastAsia="仿宋_GB2312" w:cs="仿宋_GB2312"/>
          <w:color w:val="000000"/>
          <w:sz w:val="32"/>
          <w:szCs w:val="32"/>
          <w:highlight w:val="none"/>
          <w:lang w:eastAsia="zh-CN"/>
        </w:rPr>
        <w:t>区自然资源和规划局</w:t>
      </w:r>
      <w:r>
        <w:rPr>
          <w:rFonts w:hint="eastAsia" w:ascii="仿宋_GB2312" w:hAnsi="仿宋_GB2312" w:eastAsia="仿宋_GB2312" w:cs="仿宋_GB2312"/>
          <w:color w:val="000000"/>
          <w:sz w:val="32"/>
          <w:szCs w:val="32"/>
          <w:highlight w:val="none"/>
        </w:rPr>
        <w:t>决定以挂牌方式出让</w:t>
      </w:r>
      <w:r>
        <w:rPr>
          <w:rFonts w:hint="eastAsia" w:ascii="仿宋_GB2312" w:hAnsi="仿宋_GB2312" w:eastAsia="仿宋_GB2312" w:cs="仿宋_GB2312"/>
          <w:color w:val="000000"/>
          <w:sz w:val="32"/>
          <w:szCs w:val="32"/>
          <w:highlight w:val="none"/>
          <w:lang w:eastAsia="zh-CN"/>
        </w:rPr>
        <w:t>一</w:t>
      </w:r>
      <w:r>
        <w:rPr>
          <w:rFonts w:hint="eastAsia" w:ascii="仿宋_GB2312" w:hAnsi="仿宋_GB2312" w:eastAsia="仿宋_GB2312" w:cs="仿宋_GB2312"/>
          <w:color w:val="000000"/>
          <w:sz w:val="32"/>
          <w:szCs w:val="32"/>
          <w:highlight w:val="none"/>
        </w:rPr>
        <w:t>宗国有建设用地使用权。现将有关事项公告如下:</w:t>
      </w:r>
    </w:p>
    <w:p w14:paraId="255741B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Chars="100" w:right="0" w:rightChars="0" w:firstLine="320" w:firstLineChars="100"/>
        <w:jc w:val="both"/>
        <w:textAlignment w:val="auto"/>
        <w:rPr>
          <w:rFonts w:hint="eastAsia" w:ascii="黑体" w:hAnsi="黑体" w:eastAsia="黑体" w:cs="黑体"/>
          <w:b w:val="0"/>
          <w:bCs/>
          <w:kern w:val="2"/>
          <w:sz w:val="32"/>
          <w:szCs w:val="32"/>
          <w:lang w:val="en-US" w:eastAsia="zh-CN" w:bidi="ar"/>
        </w:rPr>
      </w:pPr>
      <w:r>
        <w:rPr>
          <w:rFonts w:hint="eastAsia" w:ascii="黑体" w:hAnsi="黑体" w:eastAsia="黑体" w:cs="黑体"/>
          <w:b w:val="0"/>
          <w:bCs/>
          <w:kern w:val="2"/>
          <w:sz w:val="32"/>
          <w:szCs w:val="32"/>
          <w:lang w:val="en-US" w:eastAsia="zh-CN" w:bidi="ar"/>
        </w:rPr>
        <w:t>一、出让地块基本情况和主要规划技术指标</w:t>
      </w:r>
    </w:p>
    <w:tbl>
      <w:tblPr>
        <w:tblStyle w:val="9"/>
        <w:tblW w:w="10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44"/>
        <w:gridCol w:w="950"/>
        <w:gridCol w:w="1129"/>
        <w:gridCol w:w="915"/>
        <w:gridCol w:w="846"/>
        <w:gridCol w:w="963"/>
        <w:gridCol w:w="1200"/>
        <w:gridCol w:w="1112"/>
        <w:gridCol w:w="725"/>
        <w:gridCol w:w="838"/>
        <w:gridCol w:w="721"/>
      </w:tblGrid>
      <w:tr w14:paraId="772FB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4" w:hRule="atLeast"/>
          <w:jc w:val="center"/>
        </w:trPr>
        <w:tc>
          <w:tcPr>
            <w:tcW w:w="74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23D3E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地块</w:t>
            </w:r>
          </w:p>
          <w:p w14:paraId="2A5D3C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编号</w:t>
            </w:r>
          </w:p>
        </w:tc>
        <w:tc>
          <w:tcPr>
            <w:tcW w:w="9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D0139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土地</w:t>
            </w:r>
          </w:p>
          <w:p w14:paraId="1C6D59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位置</w:t>
            </w:r>
          </w:p>
        </w:tc>
        <w:tc>
          <w:tcPr>
            <w:tcW w:w="11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89360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p>
          <w:p w14:paraId="7F720A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土地</w:t>
            </w:r>
          </w:p>
          <w:p w14:paraId="095C15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面积</w:t>
            </w:r>
          </w:p>
          <w:p w14:paraId="138970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p>
        </w:tc>
        <w:tc>
          <w:tcPr>
            <w:tcW w:w="91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40C56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土地</w:t>
            </w:r>
          </w:p>
          <w:p w14:paraId="6D268D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用途</w:t>
            </w:r>
          </w:p>
        </w:tc>
        <w:tc>
          <w:tcPr>
            <w:tcW w:w="846" w:type="dxa"/>
            <w:vMerge w:val="restart"/>
            <w:tcBorders>
              <w:top w:val="single" w:color="auto" w:sz="4" w:space="0"/>
              <w:left w:val="single" w:color="auto" w:sz="4" w:space="0"/>
              <w:right w:val="single" w:color="auto" w:sz="4" w:space="0"/>
            </w:tcBorders>
            <w:shd w:val="clear" w:color="auto" w:fill="auto"/>
            <w:vAlign w:val="center"/>
          </w:tcPr>
          <w:p w14:paraId="443D49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准入产业类型</w:t>
            </w:r>
          </w:p>
        </w:tc>
        <w:tc>
          <w:tcPr>
            <w:tcW w:w="327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892D55C">
            <w:pPr>
              <w:pStyle w:val="4"/>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规划指标要求</w:t>
            </w:r>
          </w:p>
        </w:tc>
        <w:tc>
          <w:tcPr>
            <w:tcW w:w="7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B9801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出让</w:t>
            </w:r>
          </w:p>
          <w:p w14:paraId="4C0A08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年限</w:t>
            </w:r>
          </w:p>
        </w:tc>
        <w:tc>
          <w:tcPr>
            <w:tcW w:w="83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3A516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竞买</w:t>
            </w:r>
          </w:p>
          <w:p w14:paraId="2ECF20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保证金</w:t>
            </w:r>
          </w:p>
          <w:p w14:paraId="0F5F7A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(万元)</w:t>
            </w:r>
          </w:p>
        </w:tc>
        <w:tc>
          <w:tcPr>
            <w:tcW w:w="7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18D43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_GB2312" w:hAnsi="宋体" w:eastAsia="仿宋_GB2312" w:cs="仿宋_GB2312"/>
                <w:b/>
                <w:bCs/>
                <w:spacing w:val="-18"/>
                <w:kern w:val="2"/>
                <w:sz w:val="24"/>
                <w:szCs w:val="24"/>
                <w:lang w:val="en-US" w:eastAsia="zh-CN" w:bidi="ar"/>
              </w:rPr>
            </w:pPr>
            <w:r>
              <w:rPr>
                <w:rFonts w:hint="eastAsia" w:ascii="仿宋_GB2312" w:hAnsi="宋体" w:eastAsia="仿宋_GB2312" w:cs="仿宋_GB2312"/>
                <w:b/>
                <w:bCs/>
                <w:spacing w:val="-18"/>
                <w:kern w:val="2"/>
                <w:sz w:val="24"/>
                <w:szCs w:val="24"/>
                <w:lang w:val="en-US" w:eastAsia="zh-CN" w:bidi="ar"/>
              </w:rPr>
              <w:t>交易起始价（万元）</w:t>
            </w:r>
          </w:p>
        </w:tc>
      </w:tr>
      <w:tr w14:paraId="256B5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44" w:hRule="atLeast"/>
          <w:jc w:val="center"/>
        </w:trPr>
        <w:tc>
          <w:tcPr>
            <w:tcW w:w="7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DCC2A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仿宋_GB2312" w:hAnsi="宋体" w:eastAsia="仿宋_GB2312" w:cs="仿宋_GB2312"/>
                <w:spacing w:val="-18"/>
                <w:kern w:val="2"/>
                <w:sz w:val="21"/>
                <w:szCs w:val="21"/>
                <w:lang w:val="en-US" w:eastAsia="zh-CN" w:bidi="ar"/>
              </w:rPr>
            </w:pPr>
          </w:p>
        </w:tc>
        <w:tc>
          <w:tcPr>
            <w:tcW w:w="9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BA2147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仿宋_GB2312" w:hAnsi="宋体" w:eastAsia="仿宋_GB2312" w:cs="仿宋_GB2312"/>
                <w:spacing w:val="-18"/>
                <w:kern w:val="2"/>
                <w:sz w:val="21"/>
                <w:szCs w:val="21"/>
                <w:lang w:val="en-US" w:eastAsia="zh-CN" w:bidi="ar"/>
              </w:rPr>
            </w:pPr>
          </w:p>
        </w:tc>
        <w:tc>
          <w:tcPr>
            <w:tcW w:w="11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173191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仿宋_GB2312" w:hAnsi="宋体" w:eastAsia="仿宋_GB2312" w:cs="仿宋_GB2312"/>
                <w:spacing w:val="-18"/>
                <w:kern w:val="2"/>
                <w:sz w:val="21"/>
                <w:szCs w:val="21"/>
                <w:lang w:val="en-US" w:eastAsia="zh-CN" w:bidi="ar"/>
              </w:rPr>
            </w:pPr>
          </w:p>
        </w:tc>
        <w:tc>
          <w:tcPr>
            <w:tcW w:w="91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9D5D9C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仿宋_GB2312" w:hAnsi="宋体" w:eastAsia="仿宋_GB2312" w:cs="仿宋_GB2312"/>
                <w:spacing w:val="-18"/>
                <w:kern w:val="2"/>
                <w:sz w:val="21"/>
                <w:szCs w:val="21"/>
                <w:lang w:val="en-US" w:eastAsia="zh-CN" w:bidi="ar"/>
              </w:rPr>
            </w:pPr>
          </w:p>
        </w:tc>
        <w:tc>
          <w:tcPr>
            <w:tcW w:w="846" w:type="dxa"/>
            <w:vMerge w:val="continue"/>
            <w:tcBorders>
              <w:left w:val="single" w:color="auto" w:sz="4" w:space="0"/>
              <w:bottom w:val="single" w:color="auto" w:sz="4" w:space="0"/>
              <w:right w:val="single" w:color="auto" w:sz="4" w:space="0"/>
            </w:tcBorders>
            <w:shd w:val="clear" w:color="auto" w:fill="auto"/>
            <w:vAlign w:val="center"/>
          </w:tcPr>
          <w:p w14:paraId="40D16B4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仿宋_GB2312" w:hAnsi="宋体" w:eastAsia="仿宋_GB2312" w:cs="仿宋_GB2312"/>
                <w:spacing w:val="-18"/>
                <w:kern w:val="2"/>
                <w:sz w:val="21"/>
                <w:szCs w:val="21"/>
                <w:lang w:val="en-US" w:eastAsia="zh-CN" w:bidi="ar"/>
              </w:rPr>
            </w:pPr>
          </w:p>
        </w:tc>
        <w:tc>
          <w:tcPr>
            <w:tcW w:w="963" w:type="dxa"/>
            <w:tcBorders>
              <w:top w:val="single" w:color="auto" w:sz="4" w:space="0"/>
              <w:left w:val="single" w:color="auto" w:sz="4" w:space="0"/>
              <w:bottom w:val="single" w:color="auto" w:sz="4" w:space="0"/>
              <w:right w:val="single" w:color="auto" w:sz="4" w:space="0"/>
            </w:tcBorders>
            <w:shd w:val="clear" w:color="auto" w:fill="auto"/>
            <w:vAlign w:val="center"/>
          </w:tcPr>
          <w:p w14:paraId="2A0083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1"/>
                <w:szCs w:val="21"/>
                <w:lang w:val="en-US" w:eastAsia="zh-CN" w:bidi="ar"/>
              </w:rPr>
            </w:pPr>
            <w:r>
              <w:rPr>
                <w:rFonts w:hint="eastAsia" w:ascii="仿宋_GB2312" w:hAnsi="宋体" w:eastAsia="仿宋_GB2312" w:cs="仿宋_GB2312"/>
                <w:b/>
                <w:bCs/>
                <w:spacing w:val="-18"/>
                <w:kern w:val="2"/>
                <w:sz w:val="21"/>
                <w:szCs w:val="21"/>
                <w:lang w:val="en-US" w:eastAsia="zh-CN" w:bidi="ar"/>
              </w:rPr>
              <w:t>容积率</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2FF1FB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_GB2312" w:hAnsi="宋体" w:eastAsia="仿宋_GB2312" w:cs="仿宋_GB2312"/>
                <w:b/>
                <w:bCs/>
                <w:spacing w:val="-18"/>
                <w:kern w:val="2"/>
                <w:sz w:val="21"/>
                <w:szCs w:val="21"/>
                <w:lang w:val="en-US" w:eastAsia="zh-CN" w:bidi="ar"/>
              </w:rPr>
            </w:pPr>
            <w:r>
              <w:rPr>
                <w:rFonts w:hint="eastAsia" w:ascii="仿宋_GB2312" w:hAnsi="宋体" w:eastAsia="仿宋_GB2312" w:cs="仿宋_GB2312"/>
                <w:b/>
                <w:bCs/>
                <w:spacing w:val="-18"/>
                <w:kern w:val="2"/>
                <w:sz w:val="21"/>
                <w:szCs w:val="21"/>
                <w:lang w:val="en-US" w:eastAsia="zh-CN" w:bidi="ar"/>
              </w:rPr>
              <w:t xml:space="preserve">  建筑</w:t>
            </w:r>
          </w:p>
          <w:p w14:paraId="18B35D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_GB2312" w:hAnsi="宋体" w:eastAsia="仿宋_GB2312" w:cs="仿宋_GB2312"/>
                <w:b/>
                <w:bCs/>
                <w:spacing w:val="-18"/>
                <w:kern w:val="2"/>
                <w:sz w:val="21"/>
                <w:szCs w:val="21"/>
                <w:lang w:val="en-US" w:eastAsia="zh-CN" w:bidi="ar"/>
              </w:rPr>
            </w:pPr>
            <w:r>
              <w:rPr>
                <w:rFonts w:hint="eastAsia" w:ascii="仿宋_GB2312" w:hAnsi="宋体" w:eastAsia="仿宋_GB2312" w:cs="仿宋_GB2312"/>
                <w:b/>
                <w:bCs/>
                <w:spacing w:val="-18"/>
                <w:kern w:val="2"/>
                <w:sz w:val="21"/>
                <w:szCs w:val="21"/>
                <w:lang w:val="en-US" w:eastAsia="zh-CN" w:bidi="ar"/>
              </w:rPr>
              <w:t xml:space="preserve">  密度</w:t>
            </w:r>
          </w:p>
        </w:tc>
        <w:tc>
          <w:tcPr>
            <w:tcW w:w="1112" w:type="dxa"/>
            <w:tcBorders>
              <w:top w:val="single" w:color="auto" w:sz="4" w:space="0"/>
              <w:left w:val="single" w:color="auto" w:sz="4" w:space="0"/>
              <w:bottom w:val="single" w:color="auto" w:sz="4" w:space="0"/>
              <w:right w:val="single" w:color="auto" w:sz="4" w:space="0"/>
            </w:tcBorders>
            <w:shd w:val="clear" w:color="auto" w:fill="auto"/>
            <w:vAlign w:val="center"/>
          </w:tcPr>
          <w:p w14:paraId="725FF9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_GB2312" w:hAnsi="宋体" w:eastAsia="仿宋_GB2312" w:cs="仿宋_GB2312"/>
                <w:b/>
                <w:bCs/>
                <w:spacing w:val="-18"/>
                <w:kern w:val="2"/>
                <w:sz w:val="21"/>
                <w:szCs w:val="21"/>
                <w:lang w:val="en-US" w:eastAsia="zh-CN" w:bidi="ar"/>
              </w:rPr>
            </w:pPr>
            <w:r>
              <w:rPr>
                <w:rFonts w:hint="eastAsia" w:ascii="仿宋_GB2312" w:hAnsi="宋体" w:eastAsia="仿宋_GB2312" w:cs="仿宋_GB2312"/>
                <w:b/>
                <w:bCs/>
                <w:spacing w:val="-18"/>
                <w:kern w:val="2"/>
                <w:sz w:val="21"/>
                <w:szCs w:val="21"/>
                <w:lang w:val="en-US" w:eastAsia="zh-CN" w:bidi="ar"/>
              </w:rPr>
              <w:t>绿地率</w:t>
            </w:r>
          </w:p>
        </w:tc>
        <w:tc>
          <w:tcPr>
            <w:tcW w:w="72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4D1791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仿宋_GB2312" w:hAnsi="宋体" w:eastAsia="仿宋_GB2312" w:cs="仿宋_GB2312"/>
                <w:spacing w:val="-18"/>
                <w:kern w:val="2"/>
                <w:sz w:val="21"/>
                <w:szCs w:val="21"/>
                <w:lang w:val="en-US" w:eastAsia="zh-CN" w:bidi="ar"/>
              </w:rPr>
            </w:pPr>
          </w:p>
        </w:tc>
        <w:tc>
          <w:tcPr>
            <w:tcW w:w="8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491EA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仿宋_GB2312" w:hAnsi="宋体" w:eastAsia="仿宋_GB2312" w:cs="仿宋_GB2312"/>
                <w:spacing w:val="-18"/>
                <w:kern w:val="2"/>
                <w:sz w:val="21"/>
                <w:szCs w:val="21"/>
                <w:lang w:val="en-US" w:eastAsia="zh-CN" w:bidi="ar"/>
              </w:rPr>
            </w:pPr>
          </w:p>
        </w:tc>
        <w:tc>
          <w:tcPr>
            <w:tcW w:w="72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784DD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仿宋_GB2312" w:hAnsi="宋体" w:eastAsia="仿宋_GB2312" w:cs="仿宋_GB2312"/>
                <w:spacing w:val="-18"/>
                <w:kern w:val="2"/>
                <w:sz w:val="21"/>
                <w:szCs w:val="21"/>
                <w:lang w:val="en-US" w:eastAsia="zh-CN" w:bidi="ar"/>
              </w:rPr>
            </w:pPr>
          </w:p>
        </w:tc>
      </w:tr>
      <w:tr w14:paraId="6AFF8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38D98EF3">
            <w:pPr>
              <w:pStyle w:val="4"/>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4"/>
                <w:szCs w:val="24"/>
                <w:lang w:val="en-US" w:eastAsia="zh-CN" w:bidi="ar"/>
              </w:rPr>
            </w:pPr>
            <w:r>
              <w:rPr>
                <w:rFonts w:hint="eastAsia" w:ascii="仿宋_GB2312" w:hAnsi="仿宋_GB2312" w:eastAsia="仿宋_GB2312" w:cs="仿宋_GB2312"/>
                <w:color w:val="auto"/>
                <w:spacing w:val="-18"/>
                <w:kern w:val="2"/>
                <w:sz w:val="24"/>
                <w:szCs w:val="24"/>
                <w:lang w:val="en-US" w:eastAsia="zh-CN" w:bidi="ar"/>
              </w:rPr>
              <w:t>2026工业挂牌-4号</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6180258">
            <w:pPr>
              <w:pStyle w:val="4"/>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4"/>
                <w:szCs w:val="24"/>
                <w:lang w:val="en-US" w:eastAsia="zh-CN" w:bidi="ar"/>
              </w:rPr>
            </w:pPr>
            <w:r>
              <w:rPr>
                <w:rFonts w:hint="eastAsia" w:ascii="仿宋_GB2312" w:hAnsi="仿宋_GB2312" w:eastAsia="仿宋_GB2312" w:cs="仿宋_GB2312"/>
                <w:color w:val="auto"/>
                <w:spacing w:val="-18"/>
                <w:kern w:val="2"/>
                <w:sz w:val="24"/>
                <w:szCs w:val="24"/>
                <w:lang w:val="en-US" w:eastAsia="zh-CN" w:bidi="ar"/>
              </w:rPr>
              <w:t>鹤上镇</w:t>
            </w:r>
          </w:p>
        </w:tc>
        <w:tc>
          <w:tcPr>
            <w:tcW w:w="1129" w:type="dxa"/>
            <w:tcBorders>
              <w:top w:val="single" w:color="auto" w:sz="4" w:space="0"/>
              <w:left w:val="single" w:color="auto" w:sz="4" w:space="0"/>
              <w:bottom w:val="single" w:color="auto" w:sz="4" w:space="0"/>
              <w:right w:val="single" w:color="auto" w:sz="4" w:space="0"/>
            </w:tcBorders>
            <w:shd w:val="clear" w:color="auto" w:fill="auto"/>
            <w:vAlign w:val="center"/>
          </w:tcPr>
          <w:p w14:paraId="019AC1E5">
            <w:pPr>
              <w:pStyle w:val="4"/>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4"/>
                <w:szCs w:val="24"/>
                <w:highlight w:val="yellow"/>
                <w:lang w:val="en-US" w:eastAsia="zh-CN" w:bidi="ar"/>
              </w:rPr>
            </w:pPr>
            <w:r>
              <w:rPr>
                <w:rFonts w:hint="eastAsia" w:ascii="仿宋_GB2312" w:hAnsi="华文仿宋" w:cs="仿宋_GB2312"/>
                <w:spacing w:val="0"/>
                <w:kern w:val="2"/>
                <w:sz w:val="24"/>
                <w:szCs w:val="24"/>
                <w:lang w:val="en-US" w:eastAsia="zh-CN" w:bidi="ar-SA"/>
              </w:rPr>
              <w:t>57637</w:t>
            </w:r>
            <w:r>
              <w:rPr>
                <w:rFonts w:hint="eastAsia" w:ascii="仿宋_GB2312" w:hAnsi="华文仿宋" w:eastAsia="仿宋_GB2312" w:cs="仿宋_GB2312"/>
                <w:spacing w:val="0"/>
                <w:kern w:val="2"/>
                <w:sz w:val="24"/>
                <w:szCs w:val="24"/>
                <w:lang w:val="en-US" w:eastAsia="zh-CN" w:bidi="ar-SA"/>
              </w:rPr>
              <w:t>平方米</w:t>
            </w: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14:paraId="3883370A">
            <w:pPr>
              <w:pStyle w:val="4"/>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4"/>
                <w:szCs w:val="24"/>
                <w:lang w:val="en-US" w:eastAsia="zh-CN" w:bidi="ar"/>
              </w:rPr>
            </w:pPr>
            <w:r>
              <w:rPr>
                <w:rFonts w:hint="eastAsia" w:ascii="仿宋_GB2312" w:hAnsi="华文仿宋" w:eastAsia="仿宋_GB2312" w:cs="仿宋_GB2312"/>
                <w:sz w:val="24"/>
                <w:szCs w:val="24"/>
              </w:rPr>
              <w:t>二类工业用地（100102）</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14:paraId="74D4BE6B">
            <w:pPr>
              <w:pStyle w:val="4"/>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仿宋_GB2312" w:hAnsi="华文仿宋" w:eastAsia="仿宋_GB2312" w:cs="仿宋_GB2312"/>
                <w:sz w:val="24"/>
                <w:szCs w:val="24"/>
                <w:lang w:eastAsia="zh-CN"/>
              </w:rPr>
            </w:pPr>
            <w:r>
              <w:rPr>
                <w:rFonts w:hint="eastAsia" w:ascii="仿宋_GB2312" w:hAnsi="华文仿宋" w:eastAsia="仿宋_GB2312" w:cs="仿宋_GB2312"/>
                <w:sz w:val="24"/>
                <w:szCs w:val="24"/>
                <w:lang w:eastAsia="zh-CN"/>
              </w:rPr>
              <w:t>其它产业</w:t>
            </w:r>
          </w:p>
        </w:tc>
        <w:tc>
          <w:tcPr>
            <w:tcW w:w="963" w:type="dxa"/>
            <w:tcBorders>
              <w:top w:val="single" w:color="auto" w:sz="4" w:space="0"/>
              <w:left w:val="single" w:color="auto" w:sz="4" w:space="0"/>
              <w:bottom w:val="single" w:color="auto" w:sz="4" w:space="0"/>
              <w:right w:val="single" w:color="auto" w:sz="4" w:space="0"/>
            </w:tcBorders>
            <w:shd w:val="clear" w:color="auto" w:fill="auto"/>
            <w:vAlign w:val="center"/>
          </w:tcPr>
          <w:p w14:paraId="441F9526">
            <w:pPr>
              <w:pStyle w:val="4"/>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4"/>
                <w:szCs w:val="24"/>
                <w:lang w:val="en-US" w:eastAsia="zh-CN" w:bidi="ar"/>
              </w:rPr>
            </w:pPr>
            <w:r>
              <w:rPr>
                <w:rFonts w:hint="eastAsia" w:ascii="仿宋_GB2312" w:hAnsi="华文仿宋" w:eastAsia="仿宋_GB2312" w:cs="仿宋_GB2312"/>
                <w:spacing w:val="0"/>
                <w:kern w:val="2"/>
                <w:sz w:val="24"/>
                <w:szCs w:val="24"/>
                <w:lang w:val="en-US" w:eastAsia="zh-CN" w:bidi="ar-SA"/>
              </w:rPr>
              <w:t>≥1.</w:t>
            </w:r>
            <w:r>
              <w:rPr>
                <w:rFonts w:hint="eastAsia" w:ascii="仿宋_GB2312" w:hAnsi="华文仿宋" w:cs="仿宋_GB2312"/>
                <w:spacing w:val="0"/>
                <w:kern w:val="2"/>
                <w:sz w:val="24"/>
                <w:szCs w:val="24"/>
                <w:lang w:val="en-US" w:eastAsia="zh-CN" w:bidi="ar-SA"/>
              </w:rPr>
              <w:t>0</w:t>
            </w:r>
            <w:r>
              <w:rPr>
                <w:rFonts w:hint="eastAsia" w:ascii="仿宋_GB2312" w:hAnsi="华文仿宋" w:eastAsia="仿宋_GB2312" w:cs="仿宋_GB2312"/>
                <w:spacing w:val="0"/>
                <w:kern w:val="2"/>
                <w:sz w:val="24"/>
                <w:szCs w:val="24"/>
                <w:lang w:val="en-US" w:eastAsia="zh-CN" w:bidi="ar-SA"/>
              </w:rPr>
              <w:t>，≤2.5</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75CD84C4">
            <w:pPr>
              <w:pStyle w:val="4"/>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4"/>
                <w:szCs w:val="24"/>
                <w:lang w:val="en-US" w:eastAsia="zh-CN" w:bidi="ar"/>
              </w:rPr>
            </w:pPr>
            <w:r>
              <w:rPr>
                <w:rFonts w:hint="eastAsia" w:ascii="仿宋_GB2312" w:hAnsi="华文仿宋" w:eastAsia="仿宋_GB2312" w:cs="仿宋_GB2312"/>
                <w:spacing w:val="0"/>
                <w:kern w:val="2"/>
                <w:sz w:val="24"/>
                <w:szCs w:val="24"/>
                <w:lang w:val="en-US" w:eastAsia="zh-CN" w:bidi="ar-SA"/>
              </w:rPr>
              <w:t>≥38%</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建筑系数</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40</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eastAsia="zh-CN"/>
              </w:rPr>
              <w:t>）</w:t>
            </w:r>
          </w:p>
        </w:tc>
        <w:tc>
          <w:tcPr>
            <w:tcW w:w="1112" w:type="dxa"/>
            <w:tcBorders>
              <w:top w:val="single" w:color="auto" w:sz="4" w:space="0"/>
              <w:left w:val="single" w:color="auto" w:sz="4" w:space="0"/>
              <w:bottom w:val="single" w:color="auto" w:sz="4" w:space="0"/>
              <w:right w:val="single" w:color="auto" w:sz="4" w:space="0"/>
            </w:tcBorders>
            <w:shd w:val="clear" w:color="auto" w:fill="auto"/>
            <w:vAlign w:val="center"/>
          </w:tcPr>
          <w:p w14:paraId="4373FD22">
            <w:pPr>
              <w:pStyle w:val="4"/>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4"/>
                <w:szCs w:val="24"/>
                <w:lang w:val="en-US" w:eastAsia="zh-CN" w:bidi="ar"/>
              </w:rPr>
            </w:pPr>
            <w:r>
              <w:rPr>
                <w:rFonts w:hint="eastAsia" w:ascii="仿宋_GB2312" w:hAnsi="华文仿宋" w:eastAsia="仿宋_GB2312" w:cs="仿宋_GB2312"/>
                <w:spacing w:val="0"/>
                <w:kern w:val="2"/>
                <w:sz w:val="24"/>
                <w:szCs w:val="24"/>
                <w:lang w:val="en-US" w:eastAsia="zh-CN" w:bidi="ar-SA"/>
              </w:rPr>
              <w:t>≥15%，≤20%</w:t>
            </w:r>
          </w:p>
        </w:tc>
        <w:tc>
          <w:tcPr>
            <w:tcW w:w="725" w:type="dxa"/>
            <w:tcBorders>
              <w:top w:val="single" w:color="auto" w:sz="4" w:space="0"/>
              <w:left w:val="single" w:color="auto" w:sz="4" w:space="0"/>
              <w:bottom w:val="single" w:color="auto" w:sz="4" w:space="0"/>
              <w:right w:val="single" w:color="auto" w:sz="4" w:space="0"/>
            </w:tcBorders>
            <w:shd w:val="clear" w:color="auto" w:fill="auto"/>
            <w:vAlign w:val="center"/>
          </w:tcPr>
          <w:p w14:paraId="62D9C4F3">
            <w:pPr>
              <w:pStyle w:val="4"/>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4"/>
                <w:szCs w:val="24"/>
                <w:vertAlign w:val="subscript"/>
                <w:lang w:val="en-US" w:eastAsia="zh-CN" w:bidi="ar"/>
              </w:rPr>
            </w:pPr>
            <w:r>
              <w:rPr>
                <w:rFonts w:hint="eastAsia" w:ascii="仿宋_GB2312" w:hAnsi="仿宋_GB2312" w:eastAsia="仿宋_GB2312" w:cs="仿宋_GB2312"/>
                <w:color w:val="auto"/>
                <w:spacing w:val="-6"/>
                <w:sz w:val="24"/>
                <w:szCs w:val="24"/>
              </w:rPr>
              <w:t>50年</w:t>
            </w:r>
          </w:p>
        </w:tc>
        <w:tc>
          <w:tcPr>
            <w:tcW w:w="838" w:type="dxa"/>
            <w:tcBorders>
              <w:top w:val="single" w:color="auto" w:sz="4" w:space="0"/>
              <w:left w:val="single" w:color="auto" w:sz="4" w:space="0"/>
              <w:bottom w:val="single" w:color="auto" w:sz="4" w:space="0"/>
              <w:right w:val="single" w:color="auto" w:sz="4" w:space="0"/>
            </w:tcBorders>
            <w:shd w:val="clear" w:color="auto" w:fill="auto"/>
            <w:vAlign w:val="center"/>
          </w:tcPr>
          <w:p w14:paraId="32FB38DF">
            <w:pPr>
              <w:pStyle w:val="4"/>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仿宋_GB2312" w:hAnsi="仿宋_GB2312" w:eastAsia="仿宋_GB2312" w:cs="仿宋_GB2312"/>
                <w:color w:val="auto"/>
                <w:spacing w:val="-18"/>
                <w:kern w:val="2"/>
                <w:sz w:val="24"/>
                <w:szCs w:val="24"/>
                <w:highlight w:val="yellow"/>
                <w:lang w:val="en-US" w:eastAsia="zh-CN" w:bidi="ar"/>
              </w:rPr>
            </w:pPr>
            <w:r>
              <w:rPr>
                <w:rFonts w:hint="eastAsia" w:ascii="仿宋_GB2312" w:hAnsi="仿宋_GB2312" w:eastAsia="仿宋_GB2312" w:cs="仿宋_GB2312"/>
                <w:b w:val="0"/>
                <w:bCs w:val="0"/>
                <w:color w:val="auto"/>
                <w:spacing w:val="-6"/>
                <w:sz w:val="24"/>
                <w:szCs w:val="24"/>
                <w:highlight w:val="none"/>
                <w:lang w:val="en-US" w:eastAsia="zh-CN"/>
              </w:rPr>
              <w:t>660</w:t>
            </w:r>
          </w:p>
        </w:tc>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14:paraId="2DE7A909">
            <w:pPr>
              <w:pStyle w:val="4"/>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仿宋_GB2312" w:hAnsi="仿宋_GB2312" w:eastAsia="仿宋_GB2312" w:cs="仿宋_GB2312"/>
                <w:color w:val="auto"/>
                <w:spacing w:val="-18"/>
                <w:kern w:val="2"/>
                <w:sz w:val="24"/>
                <w:szCs w:val="24"/>
                <w:highlight w:val="yellow"/>
                <w:lang w:val="en-US" w:eastAsia="zh-CN" w:bidi="ar"/>
              </w:rPr>
            </w:pPr>
            <w:r>
              <w:rPr>
                <w:rFonts w:hint="eastAsia" w:ascii="仿宋_GB2312" w:eastAsia="仿宋_GB2312" w:cs="Times New Roman"/>
                <w:b w:val="0"/>
                <w:bCs w:val="0"/>
                <w:color w:val="auto"/>
                <w:spacing w:val="-6"/>
                <w:sz w:val="24"/>
                <w:szCs w:val="24"/>
                <w:highlight w:val="none"/>
                <w:lang w:val="en-US" w:eastAsia="zh-CN"/>
              </w:rPr>
              <w:t>3300</w:t>
            </w:r>
          </w:p>
        </w:tc>
      </w:tr>
    </w:tbl>
    <w:p w14:paraId="059FA1E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黑体" w:hAnsi="黑体" w:eastAsia="黑体" w:cs="黑体"/>
          <w:b w:val="0"/>
          <w:bCs/>
          <w:kern w:val="2"/>
          <w:sz w:val="32"/>
          <w:szCs w:val="32"/>
          <w:lang w:val="en-US" w:eastAsia="zh-CN" w:bidi="ar"/>
        </w:rPr>
      </w:pPr>
      <w:r>
        <w:rPr>
          <w:rFonts w:hint="eastAsia" w:ascii="黑体" w:hAnsi="黑体" w:eastAsia="黑体" w:cs="黑体"/>
          <w:b w:val="0"/>
          <w:bCs/>
          <w:kern w:val="2"/>
          <w:sz w:val="32"/>
          <w:szCs w:val="32"/>
          <w:lang w:val="en-US" w:eastAsia="zh-CN" w:bidi="ar"/>
        </w:rPr>
        <w:t>二、</w:t>
      </w:r>
      <w:r>
        <w:rPr>
          <w:rFonts w:hint="eastAsia" w:ascii="黑体" w:hAnsi="黑体" w:eastAsia="黑体" w:cs="黑体"/>
          <w:color w:val="000000"/>
          <w:sz w:val="32"/>
          <w:szCs w:val="32"/>
          <w:highlight w:val="none"/>
          <w:lang w:val="en-US" w:eastAsia="zh-CN"/>
        </w:rPr>
        <w:t>竞买人范围</w:t>
      </w:r>
    </w:p>
    <w:p w14:paraId="5A22D82C">
      <w:pPr>
        <w:pStyle w:val="8"/>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72"/>
        <w:textAlignment w:val="auto"/>
        <w:outlineLvl w:val="9"/>
        <w:rPr>
          <w:rFonts w:hint="eastAsia" w:ascii="仿宋_GB2312" w:hAnsi="仿宋_GB2312" w:eastAsia="仿宋_GB2312" w:cs="仿宋_GB2312"/>
          <w:kern w:val="0"/>
          <w:sz w:val="32"/>
          <w:szCs w:val="32"/>
          <w:highlight w:val="none"/>
          <w:lang w:val="en-US" w:eastAsia="zh-CN" w:bidi="ar"/>
        </w:rPr>
      </w:pPr>
      <w:r>
        <w:rPr>
          <w:rFonts w:hint="eastAsia" w:ascii="仿宋_GB2312" w:hAnsi="仿宋_GB2312" w:eastAsia="仿宋_GB2312" w:cs="仿宋_GB2312"/>
          <w:color w:val="auto"/>
          <w:spacing w:val="0"/>
          <w:kern w:val="2"/>
          <w:sz w:val="32"/>
          <w:szCs w:val="32"/>
          <w:highlight w:val="none"/>
          <w:lang w:val="en-US" w:eastAsia="zh-CN" w:bidi="ar"/>
        </w:rPr>
        <w:t>上述地块竞买申请人范围:</w:t>
      </w:r>
      <w:r>
        <w:rPr>
          <w:rFonts w:hint="eastAsia" w:ascii="仿宋_GB2312" w:hAnsi="仿宋_GB2312" w:eastAsia="仿宋_GB2312" w:cs="仿宋_GB2312"/>
          <w:kern w:val="2"/>
          <w:sz w:val="32"/>
          <w:szCs w:val="32"/>
          <w:highlight w:val="none"/>
          <w:lang w:val="en-US" w:eastAsia="zh-CN" w:bidi="ar-SA"/>
        </w:rPr>
        <w:t>凡遵守中华人民共和国法律、法规的境内外法人均可报名参与竞买。竞得人在签订土地出让合同的同时，应与政府签订《项目投资履约监管协议》，有关税收、产值、退出机制等要求按履约监管协议执行。竞得人不按时签订《项目投资履约监管协议》的，视为放弃竞得宗地，</w:t>
      </w:r>
      <w:r>
        <w:rPr>
          <w:rFonts w:hint="eastAsia" w:ascii="仿宋_GB2312" w:hAnsi="仿宋_GB2312" w:eastAsia="仿宋_GB2312" w:cs="仿宋_GB2312"/>
          <w:color w:val="auto"/>
          <w:kern w:val="2"/>
          <w:sz w:val="32"/>
          <w:szCs w:val="32"/>
          <w:highlight w:val="none"/>
          <w:lang w:val="en-US" w:eastAsia="zh-CN" w:bidi="ar-SA"/>
        </w:rPr>
        <w:t>竞买保证金不予退还</w:t>
      </w:r>
      <w:r>
        <w:rPr>
          <w:rFonts w:hint="eastAsia" w:ascii="仿宋_GB2312" w:hAnsi="仿宋_GB2312" w:eastAsia="仿宋_GB2312" w:cs="仿宋_GB2312"/>
          <w:kern w:val="0"/>
          <w:sz w:val="32"/>
          <w:szCs w:val="32"/>
          <w:highlight w:val="none"/>
          <w:lang w:val="en-US" w:eastAsia="zh-CN" w:bidi="ar"/>
        </w:rPr>
        <w:t>。</w:t>
      </w:r>
    </w:p>
    <w:p w14:paraId="2497FF6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黑体" w:hAnsi="黑体" w:eastAsia="黑体" w:cs="黑体"/>
          <w:b w:val="0"/>
          <w:bCs/>
          <w:kern w:val="2"/>
          <w:sz w:val="32"/>
          <w:szCs w:val="32"/>
          <w:lang w:val="en-US" w:eastAsia="zh-CN" w:bidi="ar"/>
        </w:rPr>
      </w:pPr>
      <w:r>
        <w:rPr>
          <w:rFonts w:hint="eastAsia" w:ascii="黑体" w:hAnsi="黑体" w:eastAsia="黑体" w:cs="黑体"/>
          <w:b w:val="0"/>
          <w:bCs/>
          <w:kern w:val="2"/>
          <w:sz w:val="32"/>
          <w:szCs w:val="32"/>
          <w:lang w:val="en-US" w:eastAsia="zh-CN" w:bidi="ar"/>
        </w:rPr>
        <w:t>三、</w:t>
      </w:r>
      <w:r>
        <w:rPr>
          <w:rFonts w:hint="eastAsia" w:ascii="黑体" w:hAnsi="黑体" w:eastAsia="黑体" w:cs="黑体"/>
          <w:color w:val="000000"/>
          <w:spacing w:val="-6"/>
          <w:sz w:val="32"/>
          <w:szCs w:val="32"/>
          <w:highlight w:val="none"/>
        </w:rPr>
        <w:t>交易加价幅度</w:t>
      </w:r>
      <w:r>
        <w:rPr>
          <w:rFonts w:hint="eastAsia" w:ascii="黑体" w:hAnsi="黑体" w:eastAsia="黑体" w:cs="黑体"/>
          <w:color w:val="000000"/>
          <w:spacing w:val="-6"/>
          <w:sz w:val="32"/>
          <w:szCs w:val="32"/>
          <w:highlight w:val="none"/>
          <w:lang w:eastAsia="zh-CN"/>
        </w:rPr>
        <w:t>、保留价</w:t>
      </w:r>
    </w:p>
    <w:p w14:paraId="57C269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kern w:val="0"/>
          <w:sz w:val="32"/>
          <w:szCs w:val="32"/>
          <w:highlight w:val="none"/>
          <w:lang w:val="en-US" w:eastAsia="zh-CN" w:bidi="ar"/>
        </w:rPr>
      </w:pPr>
      <w:r>
        <w:rPr>
          <w:rFonts w:hint="eastAsia" w:ascii="仿宋_GB2312" w:hAnsi="仿宋_GB2312" w:eastAsia="仿宋_GB2312" w:cs="仿宋_GB2312"/>
          <w:color w:val="auto"/>
          <w:spacing w:val="0"/>
          <w:kern w:val="2"/>
          <w:sz w:val="32"/>
          <w:szCs w:val="32"/>
          <w:highlight w:val="none"/>
          <w:lang w:val="en-US" w:eastAsia="zh-CN" w:bidi="ar"/>
        </w:rPr>
        <w:t>上述</w:t>
      </w:r>
      <w:r>
        <w:rPr>
          <w:rFonts w:hint="eastAsia" w:ascii="仿宋_GB2312" w:hAnsi="Times New Roman" w:eastAsia="仿宋_GB2312" w:cs="仿宋_GB2312"/>
          <w:color w:val="000000"/>
          <w:kern w:val="2"/>
          <w:sz w:val="32"/>
          <w:szCs w:val="32"/>
          <w:lang w:val="en-US" w:eastAsia="zh-CN" w:bidi="ar"/>
        </w:rPr>
        <w:t>地块</w:t>
      </w:r>
      <w:r>
        <w:rPr>
          <w:rFonts w:hint="eastAsia" w:ascii="仿宋_GB2312" w:hAnsi="仿宋_GB2312" w:eastAsia="仿宋_GB2312" w:cs="仿宋_GB2312"/>
          <w:bCs/>
          <w:sz w:val="32"/>
          <w:szCs w:val="32"/>
          <w:highlight w:val="none"/>
        </w:rPr>
        <w:t>加价幅度</w:t>
      </w:r>
      <w:r>
        <w:rPr>
          <w:rFonts w:hint="eastAsia" w:ascii="仿宋_GB2312" w:hAnsi="仿宋_GB2312" w:eastAsia="仿宋_GB2312" w:cs="仿宋_GB2312"/>
          <w:b w:val="0"/>
          <w:bCs w:val="0"/>
          <w:color w:val="000000"/>
          <w:spacing w:val="-6"/>
          <w:kern w:val="0"/>
          <w:sz w:val="32"/>
          <w:szCs w:val="32"/>
          <w:highlight w:val="none"/>
          <w:u w:val="none"/>
          <w:lang w:val="en-US" w:eastAsia="zh-CN" w:bidi="ar"/>
        </w:rPr>
        <w:t>为20万元，且为20万元的整数倍</w:t>
      </w:r>
      <w:r>
        <w:rPr>
          <w:rFonts w:hint="eastAsia" w:ascii="仿宋_GB2312" w:hAnsi="Times New Roman" w:eastAsia="仿宋_GB2312" w:cs="仿宋_GB2312"/>
          <w:color w:val="000000"/>
          <w:kern w:val="2"/>
          <w:sz w:val="32"/>
          <w:szCs w:val="24"/>
          <w:lang w:val="en-US" w:eastAsia="zh-CN" w:bidi="ar"/>
        </w:rPr>
        <w:t>，</w:t>
      </w:r>
      <w:r>
        <w:rPr>
          <w:rFonts w:hint="eastAsia" w:ascii="仿宋_GB2312" w:hAnsi="Times New Roman" w:eastAsia="仿宋_GB2312" w:cs="仿宋_GB2312"/>
          <w:color w:val="000000"/>
          <w:kern w:val="2"/>
          <w:sz w:val="32"/>
          <w:szCs w:val="32"/>
          <w:lang w:val="en-US" w:eastAsia="zh-CN" w:bidi="ar"/>
        </w:rPr>
        <w:t>不设保留价。</w:t>
      </w:r>
    </w:p>
    <w:p w14:paraId="3FA844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outlineLvl w:val="9"/>
        <w:rPr>
          <w:rFonts w:hint="eastAsia" w:ascii="黑体" w:hAnsi="黑体" w:eastAsia="黑体" w:cs="黑体"/>
          <w:b w:val="0"/>
          <w:bCs/>
          <w:kern w:val="2"/>
          <w:sz w:val="32"/>
          <w:szCs w:val="32"/>
          <w:highlight w:val="none"/>
          <w:lang w:val="en-US" w:eastAsia="zh-CN" w:bidi="ar-SA"/>
        </w:rPr>
      </w:pPr>
      <w:r>
        <w:rPr>
          <w:rFonts w:hint="eastAsia" w:ascii="黑体" w:hAnsi="黑体" w:eastAsia="黑体" w:cs="黑体"/>
          <w:b w:val="0"/>
          <w:bCs/>
          <w:kern w:val="2"/>
          <w:sz w:val="32"/>
          <w:szCs w:val="32"/>
          <w:highlight w:val="none"/>
          <w:lang w:val="en-US" w:eastAsia="zh-CN" w:bidi="ar-SA"/>
        </w:rPr>
        <w:t>四、挂牌方式及竞价方法</w:t>
      </w:r>
    </w:p>
    <w:p w14:paraId="151EE8CC">
      <w:pPr>
        <w:keepNext w:val="0"/>
        <w:keepLines w:val="0"/>
        <w:pageBreakBefore w:val="0"/>
        <w:kinsoku/>
        <w:wordWrap/>
        <w:overflowPunct/>
        <w:topLinePunct w:val="0"/>
        <w:autoSpaceDE/>
        <w:autoSpaceDN/>
        <w:bidi w:val="0"/>
        <w:adjustRightInd/>
        <w:snapToGrid/>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1.采取在“福州市公共资源电子交易系统”挂牌的方式进行交易。竞买申请人可登录“https://fzsggzyjyfwzx.cn/FZ”进行注册登记，提出挂牌竞买申请，经挂牌人审查确认，获得挂牌竞买资格，并在规定的期间内登录电子交易系统进行网上报价和竞买等。</w:t>
      </w:r>
      <w:r>
        <w:rPr>
          <w:rFonts w:hint="eastAsia" w:ascii="仿宋_GB2312" w:hAnsi="仿宋_GB2312" w:eastAsia="仿宋_GB2312" w:cs="仿宋_GB2312"/>
          <w:sz w:val="32"/>
          <w:szCs w:val="32"/>
          <w:highlight w:val="none"/>
          <w:lang w:val="en-US" w:eastAsia="zh-CN"/>
        </w:rPr>
        <w:t>（建议竞买申请人在竞买申请截止前2天上传申请文件，预留审核、补件时间，在竞买申请报名时间截止后，竞买申请人无法再补交材料，材料审核不通过的，将无法参与竞买）</w:t>
      </w:r>
    </w:p>
    <w:p w14:paraId="6A8C6E20">
      <w:pPr>
        <w:keepNext w:val="0"/>
        <w:keepLines w:val="0"/>
        <w:pageBreakBefore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2.竞买人初次报价可等于或大于挂牌起始价，之后每次报价必须比当前最高报价递增一个加价幅度及以上的价格。挂牌出让按照价高者得的原则确定竞得人。</w:t>
      </w:r>
    </w:p>
    <w:p w14:paraId="206374D4">
      <w:pPr>
        <w:pStyle w:val="8"/>
        <w:keepNext w:val="0"/>
        <w:keepLines w:val="0"/>
        <w:pageBreakBefore w:val="0"/>
        <w:kinsoku/>
        <w:wordWrap/>
        <w:overflowPunct/>
        <w:topLinePunct w:val="0"/>
        <w:autoSpaceDE/>
        <w:autoSpaceDN/>
        <w:bidi w:val="0"/>
        <w:adjustRightInd/>
        <w:snapToGrid/>
        <w:spacing w:line="560" w:lineRule="exact"/>
        <w:textAlignment w:val="auto"/>
        <w:rPr>
          <w:rFonts w:hint="eastAsia" w:ascii="黑体" w:hAnsi="黑体" w:eastAsia="黑体" w:cs="黑体"/>
          <w:color w:val="000000"/>
          <w:spacing w:val="-6"/>
          <w:sz w:val="32"/>
          <w:szCs w:val="32"/>
          <w:highlight w:val="none"/>
          <w:lang w:eastAsia="zh-CN"/>
        </w:rPr>
      </w:pPr>
      <w:r>
        <w:rPr>
          <w:rFonts w:hint="eastAsia" w:ascii="黑体" w:hAnsi="黑体" w:eastAsia="黑体" w:cs="黑体"/>
          <w:color w:val="000000"/>
          <w:spacing w:val="-6"/>
          <w:sz w:val="32"/>
          <w:szCs w:val="32"/>
          <w:highlight w:val="none"/>
          <w:lang w:val="en-US" w:eastAsia="zh-CN"/>
        </w:rPr>
        <w:t>五、挂牌出让时间</w:t>
      </w:r>
    </w:p>
    <w:p w14:paraId="62935632">
      <w:pPr>
        <w:pStyle w:val="8"/>
        <w:keepNext w:val="0"/>
        <w:keepLines w:val="0"/>
        <w:pageBreakBefore w:val="0"/>
        <w:widowControl w:val="0"/>
        <w:kinsoku/>
        <w:wordWrap/>
        <w:overflowPunct/>
        <w:topLinePunct w:val="0"/>
        <w:autoSpaceDE/>
        <w:autoSpaceDN/>
        <w:bidi w:val="0"/>
        <w:adjustRightInd/>
        <w:snapToGrid/>
        <w:spacing w:line="560" w:lineRule="exact"/>
        <w:ind w:left="0" w:leftChars="0" w:firstLine="616" w:firstLineChars="200"/>
        <w:textAlignment w:val="auto"/>
        <w:rPr>
          <w:rFonts w:hint="eastAsia" w:ascii="仿宋_GB2312" w:eastAsia="仿宋_GB2312"/>
          <w:color w:val="auto"/>
          <w:spacing w:val="-6"/>
          <w:sz w:val="32"/>
          <w:szCs w:val="32"/>
          <w:highlight w:val="none"/>
        </w:rPr>
      </w:pPr>
      <w:r>
        <w:rPr>
          <w:rFonts w:hint="eastAsia" w:ascii="仿宋_GB2312" w:eastAsia="仿宋_GB2312"/>
          <w:color w:val="auto"/>
          <w:spacing w:val="-6"/>
          <w:sz w:val="32"/>
          <w:szCs w:val="32"/>
          <w:highlight w:val="none"/>
          <w:lang w:val="en-US" w:eastAsia="zh-CN"/>
        </w:rPr>
        <w:t>1.</w:t>
      </w:r>
      <w:r>
        <w:rPr>
          <w:rFonts w:hint="eastAsia" w:ascii="仿宋_GB2312" w:eastAsia="仿宋_GB2312"/>
          <w:color w:val="auto"/>
          <w:spacing w:val="-6"/>
          <w:sz w:val="32"/>
          <w:szCs w:val="32"/>
          <w:highlight w:val="none"/>
        </w:rPr>
        <w:t>竞买申请的报名时间：20</w:t>
      </w:r>
      <w:r>
        <w:rPr>
          <w:rFonts w:hint="eastAsia" w:ascii="仿宋_GB2312" w:eastAsia="仿宋_GB2312"/>
          <w:color w:val="auto"/>
          <w:spacing w:val="-6"/>
          <w:sz w:val="32"/>
          <w:szCs w:val="32"/>
          <w:highlight w:val="none"/>
          <w:lang w:val="en-US" w:eastAsia="zh-CN"/>
        </w:rPr>
        <w:t>26</w:t>
      </w:r>
      <w:r>
        <w:rPr>
          <w:rFonts w:hint="eastAsia" w:ascii="仿宋_GB2312" w:eastAsia="仿宋_GB2312"/>
          <w:color w:val="auto"/>
          <w:spacing w:val="-6"/>
          <w:sz w:val="32"/>
          <w:szCs w:val="32"/>
          <w:highlight w:val="none"/>
        </w:rPr>
        <w:t>年</w:t>
      </w:r>
      <w:r>
        <w:rPr>
          <w:rFonts w:hint="eastAsia"/>
          <w:color w:val="auto"/>
          <w:spacing w:val="-6"/>
          <w:sz w:val="32"/>
          <w:szCs w:val="32"/>
          <w:highlight w:val="none"/>
          <w:lang w:val="en-US" w:eastAsia="zh-CN"/>
        </w:rPr>
        <w:t>7</w:t>
      </w:r>
      <w:r>
        <w:rPr>
          <w:rFonts w:hint="eastAsia" w:ascii="仿宋_GB2312" w:eastAsia="仿宋_GB2312"/>
          <w:color w:val="auto"/>
          <w:spacing w:val="-6"/>
          <w:sz w:val="32"/>
          <w:szCs w:val="32"/>
          <w:highlight w:val="none"/>
        </w:rPr>
        <w:t>月</w:t>
      </w:r>
      <w:r>
        <w:rPr>
          <w:rFonts w:hint="eastAsia"/>
          <w:color w:val="auto"/>
          <w:spacing w:val="-6"/>
          <w:sz w:val="32"/>
          <w:szCs w:val="32"/>
          <w:highlight w:val="none"/>
          <w:lang w:val="en-US" w:eastAsia="zh-CN"/>
        </w:rPr>
        <w:t>24</w:t>
      </w:r>
      <w:r>
        <w:rPr>
          <w:rFonts w:hint="eastAsia" w:ascii="仿宋_GB2312" w:eastAsia="仿宋_GB2312"/>
          <w:color w:val="auto"/>
          <w:spacing w:val="-6"/>
          <w:sz w:val="32"/>
          <w:szCs w:val="32"/>
          <w:highlight w:val="none"/>
          <w:lang w:val="en-US" w:eastAsia="zh-CN"/>
        </w:rPr>
        <w:t>日9:00</w:t>
      </w:r>
      <w:r>
        <w:rPr>
          <w:rFonts w:hint="eastAsia" w:ascii="仿宋_GB2312" w:eastAsia="仿宋_GB2312"/>
          <w:color w:val="auto"/>
          <w:spacing w:val="-6"/>
          <w:sz w:val="32"/>
          <w:szCs w:val="32"/>
          <w:highlight w:val="none"/>
        </w:rPr>
        <w:t>至20</w:t>
      </w:r>
      <w:r>
        <w:rPr>
          <w:rFonts w:hint="eastAsia" w:ascii="仿宋_GB2312" w:eastAsia="仿宋_GB2312"/>
          <w:color w:val="auto"/>
          <w:spacing w:val="-6"/>
          <w:sz w:val="32"/>
          <w:szCs w:val="32"/>
          <w:highlight w:val="none"/>
          <w:lang w:val="en-US" w:eastAsia="zh-CN"/>
        </w:rPr>
        <w:t>26年</w:t>
      </w:r>
      <w:r>
        <w:rPr>
          <w:rFonts w:hint="eastAsia"/>
          <w:color w:val="auto"/>
          <w:spacing w:val="-6"/>
          <w:sz w:val="32"/>
          <w:szCs w:val="32"/>
          <w:highlight w:val="none"/>
          <w:lang w:val="en-US" w:eastAsia="zh-CN"/>
        </w:rPr>
        <w:t>8</w:t>
      </w:r>
      <w:r>
        <w:rPr>
          <w:rFonts w:hint="eastAsia" w:ascii="仿宋_GB2312" w:eastAsia="仿宋_GB2312"/>
          <w:color w:val="auto"/>
          <w:spacing w:val="-6"/>
          <w:sz w:val="32"/>
          <w:szCs w:val="32"/>
          <w:highlight w:val="none"/>
        </w:rPr>
        <w:t>月</w:t>
      </w:r>
      <w:r>
        <w:rPr>
          <w:rFonts w:hint="eastAsia"/>
          <w:color w:val="auto"/>
          <w:spacing w:val="-6"/>
          <w:sz w:val="32"/>
          <w:szCs w:val="32"/>
          <w:highlight w:val="none"/>
          <w:lang w:val="en-US" w:eastAsia="zh-CN"/>
        </w:rPr>
        <w:t>4</w:t>
      </w:r>
      <w:r>
        <w:rPr>
          <w:rFonts w:hint="eastAsia" w:ascii="仿宋_GB2312" w:eastAsia="仿宋_GB2312"/>
          <w:color w:val="auto"/>
          <w:spacing w:val="-6"/>
          <w:sz w:val="32"/>
          <w:szCs w:val="32"/>
          <w:highlight w:val="none"/>
        </w:rPr>
        <w:t>日1</w:t>
      </w:r>
      <w:r>
        <w:rPr>
          <w:rFonts w:hint="eastAsia" w:ascii="仿宋_GB2312" w:eastAsia="仿宋_GB2312"/>
          <w:color w:val="auto"/>
          <w:spacing w:val="-6"/>
          <w:sz w:val="32"/>
          <w:szCs w:val="32"/>
          <w:highlight w:val="none"/>
          <w:lang w:val="en-US" w:eastAsia="zh-CN"/>
        </w:rPr>
        <w:t>7:00</w:t>
      </w:r>
      <w:r>
        <w:rPr>
          <w:rFonts w:hint="eastAsia" w:ascii="仿宋_GB2312" w:eastAsia="仿宋_GB2312"/>
          <w:color w:val="auto"/>
          <w:spacing w:val="-6"/>
          <w:sz w:val="32"/>
          <w:szCs w:val="32"/>
          <w:highlight w:val="none"/>
        </w:rPr>
        <w:t>。</w:t>
      </w:r>
    </w:p>
    <w:p w14:paraId="694ADC07">
      <w:pPr>
        <w:pStyle w:val="8"/>
        <w:keepNext w:val="0"/>
        <w:keepLines w:val="0"/>
        <w:pageBreakBefore w:val="0"/>
        <w:widowControl w:val="0"/>
        <w:kinsoku/>
        <w:wordWrap/>
        <w:overflowPunct/>
        <w:topLinePunct w:val="0"/>
        <w:autoSpaceDE/>
        <w:autoSpaceDN/>
        <w:bidi w:val="0"/>
        <w:adjustRightInd/>
        <w:snapToGrid/>
        <w:spacing w:line="560" w:lineRule="exact"/>
        <w:ind w:left="0" w:leftChars="0" w:firstLine="616" w:firstLineChars="200"/>
        <w:textAlignment w:val="auto"/>
        <w:rPr>
          <w:rFonts w:hint="eastAsia" w:ascii="仿宋_GB2312" w:eastAsia="仿宋_GB2312"/>
          <w:color w:val="auto"/>
          <w:spacing w:val="-6"/>
          <w:sz w:val="32"/>
          <w:szCs w:val="32"/>
          <w:highlight w:val="none"/>
          <w:lang w:val="en-US" w:eastAsia="zh-CN"/>
        </w:rPr>
      </w:pPr>
      <w:r>
        <w:rPr>
          <w:rFonts w:hint="eastAsia" w:ascii="仿宋_GB2312" w:eastAsia="仿宋_GB2312"/>
          <w:color w:val="auto"/>
          <w:spacing w:val="-6"/>
          <w:sz w:val="32"/>
          <w:szCs w:val="32"/>
          <w:highlight w:val="none"/>
          <w:lang w:val="en-US" w:eastAsia="zh-CN"/>
        </w:rPr>
        <w:t>申请人的竞买保证金必须于2026年</w:t>
      </w:r>
      <w:r>
        <w:rPr>
          <w:rFonts w:hint="eastAsia"/>
          <w:color w:val="auto"/>
          <w:spacing w:val="-6"/>
          <w:sz w:val="32"/>
          <w:szCs w:val="32"/>
          <w:highlight w:val="none"/>
          <w:lang w:val="en-US" w:eastAsia="zh-CN"/>
        </w:rPr>
        <w:t>8</w:t>
      </w:r>
      <w:r>
        <w:rPr>
          <w:rFonts w:hint="eastAsia" w:ascii="仿宋_GB2312" w:eastAsia="仿宋_GB2312"/>
          <w:color w:val="auto"/>
          <w:spacing w:val="-6"/>
          <w:sz w:val="32"/>
          <w:szCs w:val="32"/>
          <w:highlight w:val="none"/>
          <w:lang w:val="en-US" w:eastAsia="zh-CN"/>
        </w:rPr>
        <w:t>月</w:t>
      </w:r>
      <w:r>
        <w:rPr>
          <w:rFonts w:hint="eastAsia"/>
          <w:color w:val="auto"/>
          <w:spacing w:val="-6"/>
          <w:sz w:val="32"/>
          <w:szCs w:val="32"/>
          <w:highlight w:val="none"/>
          <w:lang w:val="en-US" w:eastAsia="zh-CN"/>
        </w:rPr>
        <w:t>5</w:t>
      </w:r>
      <w:r>
        <w:rPr>
          <w:rFonts w:hint="eastAsia" w:ascii="仿宋_GB2312" w:eastAsia="仿宋_GB2312"/>
          <w:color w:val="auto"/>
          <w:spacing w:val="-6"/>
          <w:sz w:val="32"/>
          <w:szCs w:val="32"/>
          <w:highlight w:val="none"/>
          <w:lang w:val="en-US" w:eastAsia="zh-CN"/>
        </w:rPr>
        <w:t>日16:00前汇至福州市长乐区公共资源交</w:t>
      </w:r>
      <w:r>
        <w:rPr>
          <w:rFonts w:hint="eastAsia" w:ascii="仿宋_GB2312" w:eastAsia="仿宋_GB2312"/>
          <w:color w:val="auto"/>
          <w:spacing w:val="-6"/>
          <w:sz w:val="32"/>
          <w:szCs w:val="32"/>
          <w:highlight w:val="none"/>
        </w:rPr>
        <w:t>易服务中心</w:t>
      </w:r>
      <w:r>
        <w:rPr>
          <w:rFonts w:hint="eastAsia" w:ascii="仿宋_GB2312" w:eastAsia="仿宋_GB2312"/>
          <w:color w:val="auto"/>
          <w:spacing w:val="-6"/>
          <w:sz w:val="32"/>
          <w:szCs w:val="32"/>
          <w:highlight w:val="none"/>
          <w:lang w:eastAsia="zh-CN"/>
        </w:rPr>
        <w:t>保证金</w:t>
      </w:r>
      <w:r>
        <w:rPr>
          <w:rFonts w:hint="eastAsia" w:ascii="仿宋_GB2312" w:eastAsia="仿宋_GB2312"/>
          <w:color w:val="auto"/>
          <w:spacing w:val="-6"/>
          <w:sz w:val="32"/>
          <w:szCs w:val="32"/>
          <w:highlight w:val="none"/>
        </w:rPr>
        <w:t>账户</w:t>
      </w:r>
      <w:r>
        <w:rPr>
          <w:rFonts w:hint="eastAsia" w:ascii="仿宋_GB2312" w:eastAsia="仿宋_GB2312"/>
          <w:color w:val="auto"/>
          <w:spacing w:val="-6"/>
          <w:sz w:val="32"/>
          <w:szCs w:val="32"/>
          <w:highlight w:val="none"/>
          <w:lang w:eastAsia="zh-CN"/>
        </w:rPr>
        <w:t>。</w:t>
      </w:r>
    </w:p>
    <w:p w14:paraId="0AC0D345">
      <w:pPr>
        <w:pStyle w:val="8"/>
        <w:keepNext w:val="0"/>
        <w:keepLines w:val="0"/>
        <w:pageBreakBefore w:val="0"/>
        <w:widowControl w:val="0"/>
        <w:kinsoku/>
        <w:wordWrap/>
        <w:overflowPunct/>
        <w:topLinePunct w:val="0"/>
        <w:autoSpaceDE/>
        <w:autoSpaceDN/>
        <w:bidi w:val="0"/>
        <w:adjustRightInd/>
        <w:snapToGrid/>
        <w:spacing w:line="560" w:lineRule="exact"/>
        <w:ind w:left="0" w:leftChars="0" w:firstLine="616" w:firstLineChars="200"/>
        <w:textAlignment w:val="auto"/>
        <w:rPr>
          <w:rFonts w:hint="default" w:ascii="仿宋_GB2312" w:eastAsia="仿宋_GB2312"/>
          <w:color w:val="auto"/>
          <w:spacing w:val="-6"/>
          <w:sz w:val="32"/>
          <w:szCs w:val="32"/>
          <w:highlight w:val="none"/>
          <w:lang w:val="en-US" w:eastAsia="zh-CN"/>
        </w:rPr>
      </w:pPr>
      <w:r>
        <w:rPr>
          <w:rFonts w:hint="eastAsia" w:ascii="仿宋_GB2312" w:eastAsia="仿宋_GB2312"/>
          <w:color w:val="auto"/>
          <w:spacing w:val="-6"/>
          <w:sz w:val="32"/>
          <w:szCs w:val="32"/>
          <w:highlight w:val="none"/>
        </w:rPr>
        <w:t>经审查，申请人具备申请条件的确认其竞买资格。</w:t>
      </w:r>
    </w:p>
    <w:p w14:paraId="281E9E47">
      <w:pPr>
        <w:pStyle w:val="8"/>
        <w:keepNext w:val="0"/>
        <w:keepLines w:val="0"/>
        <w:pageBreakBefore w:val="0"/>
        <w:widowControl w:val="0"/>
        <w:kinsoku/>
        <w:wordWrap/>
        <w:overflowPunct/>
        <w:topLinePunct w:val="0"/>
        <w:autoSpaceDE/>
        <w:autoSpaceDN/>
        <w:bidi w:val="0"/>
        <w:adjustRightInd/>
        <w:snapToGrid/>
        <w:spacing w:line="560" w:lineRule="exact"/>
        <w:ind w:left="0" w:leftChars="0" w:firstLine="616" w:firstLineChars="200"/>
        <w:textAlignment w:val="auto"/>
        <w:rPr>
          <w:rFonts w:hint="default" w:ascii="仿宋_GB2312" w:eastAsia="仿宋_GB2312"/>
          <w:color w:val="auto"/>
          <w:spacing w:val="-6"/>
          <w:sz w:val="32"/>
          <w:szCs w:val="32"/>
          <w:highlight w:val="none"/>
          <w:lang w:val="en-US" w:eastAsia="zh-CN"/>
        </w:rPr>
      </w:pPr>
      <w:r>
        <w:rPr>
          <w:rFonts w:hint="eastAsia" w:ascii="仿宋_GB2312" w:eastAsia="仿宋_GB2312"/>
          <w:color w:val="auto"/>
          <w:spacing w:val="-6"/>
          <w:sz w:val="32"/>
          <w:szCs w:val="32"/>
          <w:highlight w:val="none"/>
          <w:lang w:val="en-US" w:eastAsia="zh-CN"/>
        </w:rPr>
        <w:t>2.</w:t>
      </w:r>
      <w:r>
        <w:rPr>
          <w:rFonts w:hint="eastAsia" w:ascii="仿宋_GB2312" w:eastAsia="仿宋_GB2312"/>
          <w:color w:val="auto"/>
          <w:spacing w:val="-6"/>
          <w:sz w:val="32"/>
          <w:szCs w:val="32"/>
          <w:highlight w:val="none"/>
        </w:rPr>
        <w:t>挂牌交易期限：20</w:t>
      </w:r>
      <w:r>
        <w:rPr>
          <w:rFonts w:hint="eastAsia" w:ascii="仿宋_GB2312" w:eastAsia="仿宋_GB2312"/>
          <w:color w:val="auto"/>
          <w:spacing w:val="-6"/>
          <w:sz w:val="32"/>
          <w:szCs w:val="32"/>
          <w:highlight w:val="none"/>
          <w:lang w:val="en-US" w:eastAsia="zh-CN"/>
        </w:rPr>
        <w:t>26</w:t>
      </w:r>
      <w:r>
        <w:rPr>
          <w:rFonts w:hint="eastAsia" w:ascii="仿宋_GB2312" w:eastAsia="仿宋_GB2312"/>
          <w:color w:val="auto"/>
          <w:spacing w:val="-6"/>
          <w:sz w:val="32"/>
          <w:szCs w:val="32"/>
          <w:highlight w:val="none"/>
        </w:rPr>
        <w:t>年</w:t>
      </w:r>
      <w:r>
        <w:rPr>
          <w:rFonts w:hint="eastAsia"/>
          <w:color w:val="auto"/>
          <w:spacing w:val="-6"/>
          <w:sz w:val="32"/>
          <w:szCs w:val="32"/>
          <w:highlight w:val="none"/>
          <w:lang w:val="en-US" w:eastAsia="zh-CN"/>
        </w:rPr>
        <w:t>7</w:t>
      </w:r>
      <w:r>
        <w:rPr>
          <w:rFonts w:hint="eastAsia" w:ascii="仿宋_GB2312" w:eastAsia="仿宋_GB2312"/>
          <w:color w:val="auto"/>
          <w:spacing w:val="-6"/>
          <w:sz w:val="32"/>
          <w:szCs w:val="32"/>
          <w:highlight w:val="none"/>
        </w:rPr>
        <w:t>月</w:t>
      </w:r>
      <w:r>
        <w:rPr>
          <w:rFonts w:hint="eastAsia"/>
          <w:color w:val="auto"/>
          <w:spacing w:val="-6"/>
          <w:sz w:val="32"/>
          <w:szCs w:val="32"/>
          <w:highlight w:val="none"/>
          <w:lang w:val="en-US" w:eastAsia="zh-CN"/>
        </w:rPr>
        <w:t>25</w:t>
      </w:r>
      <w:r>
        <w:rPr>
          <w:rFonts w:hint="eastAsia" w:ascii="仿宋_GB2312" w:eastAsia="仿宋_GB2312"/>
          <w:color w:val="auto"/>
          <w:spacing w:val="-6"/>
          <w:sz w:val="32"/>
          <w:szCs w:val="32"/>
          <w:highlight w:val="none"/>
        </w:rPr>
        <w:t>日</w:t>
      </w:r>
      <w:r>
        <w:rPr>
          <w:rFonts w:hint="eastAsia" w:ascii="仿宋_GB2312" w:eastAsia="仿宋_GB2312"/>
          <w:color w:val="auto"/>
          <w:spacing w:val="-6"/>
          <w:sz w:val="32"/>
          <w:szCs w:val="32"/>
          <w:highlight w:val="none"/>
          <w:lang w:val="en-US" w:eastAsia="zh-CN"/>
        </w:rPr>
        <w:t>9:00</w:t>
      </w:r>
      <w:r>
        <w:rPr>
          <w:rFonts w:hint="eastAsia" w:ascii="仿宋_GB2312" w:eastAsia="仿宋_GB2312"/>
          <w:color w:val="auto"/>
          <w:spacing w:val="-6"/>
          <w:sz w:val="32"/>
          <w:szCs w:val="32"/>
          <w:highlight w:val="none"/>
        </w:rPr>
        <w:t>至20</w:t>
      </w:r>
      <w:r>
        <w:rPr>
          <w:rFonts w:hint="eastAsia" w:ascii="仿宋_GB2312" w:eastAsia="仿宋_GB2312"/>
          <w:color w:val="auto"/>
          <w:spacing w:val="-6"/>
          <w:sz w:val="32"/>
          <w:szCs w:val="32"/>
          <w:highlight w:val="none"/>
          <w:lang w:val="en-US" w:eastAsia="zh-CN"/>
        </w:rPr>
        <w:t>26年</w:t>
      </w:r>
      <w:r>
        <w:rPr>
          <w:rFonts w:hint="eastAsia"/>
          <w:color w:val="auto"/>
          <w:spacing w:val="-6"/>
          <w:sz w:val="32"/>
          <w:szCs w:val="32"/>
          <w:highlight w:val="none"/>
          <w:lang w:val="en-US" w:eastAsia="zh-CN"/>
        </w:rPr>
        <w:t>8</w:t>
      </w:r>
      <w:r>
        <w:rPr>
          <w:rFonts w:hint="eastAsia" w:ascii="仿宋_GB2312" w:eastAsia="仿宋_GB2312"/>
          <w:color w:val="auto"/>
          <w:spacing w:val="-6"/>
          <w:sz w:val="32"/>
          <w:szCs w:val="32"/>
          <w:highlight w:val="none"/>
        </w:rPr>
        <w:t>月</w:t>
      </w:r>
      <w:r>
        <w:rPr>
          <w:rFonts w:hint="eastAsia"/>
          <w:color w:val="auto"/>
          <w:spacing w:val="-6"/>
          <w:sz w:val="32"/>
          <w:szCs w:val="32"/>
          <w:highlight w:val="none"/>
          <w:lang w:val="en-US" w:eastAsia="zh-CN"/>
        </w:rPr>
        <w:t>7</w:t>
      </w:r>
      <w:r>
        <w:rPr>
          <w:rFonts w:hint="eastAsia" w:ascii="仿宋_GB2312" w:eastAsia="仿宋_GB2312"/>
          <w:color w:val="auto"/>
          <w:spacing w:val="-6"/>
          <w:sz w:val="32"/>
          <w:szCs w:val="32"/>
          <w:highlight w:val="none"/>
        </w:rPr>
        <w:t>日1</w:t>
      </w:r>
      <w:r>
        <w:rPr>
          <w:rFonts w:hint="eastAsia" w:ascii="仿宋_GB2312" w:eastAsia="仿宋_GB2312"/>
          <w:color w:val="auto"/>
          <w:spacing w:val="-6"/>
          <w:sz w:val="32"/>
          <w:szCs w:val="32"/>
          <w:highlight w:val="none"/>
          <w:lang w:val="en-US" w:eastAsia="zh-CN"/>
        </w:rPr>
        <w:t>7:00</w:t>
      </w:r>
      <w:r>
        <w:rPr>
          <w:rFonts w:hint="eastAsia" w:ascii="仿宋_GB2312" w:eastAsia="仿宋_GB2312"/>
          <w:color w:val="auto"/>
          <w:spacing w:val="-6"/>
          <w:sz w:val="32"/>
          <w:szCs w:val="32"/>
          <w:highlight w:val="none"/>
        </w:rPr>
        <w:t>。</w:t>
      </w:r>
    </w:p>
    <w:p w14:paraId="2A463D31">
      <w:pPr>
        <w:pStyle w:val="8"/>
        <w:keepNext w:val="0"/>
        <w:keepLines w:val="0"/>
        <w:pageBreakBefore w:val="0"/>
        <w:widowControl w:val="0"/>
        <w:kinsoku/>
        <w:wordWrap/>
        <w:overflowPunct/>
        <w:topLinePunct w:val="0"/>
        <w:autoSpaceDE/>
        <w:autoSpaceDN/>
        <w:bidi w:val="0"/>
        <w:adjustRightInd/>
        <w:snapToGrid/>
        <w:spacing w:line="560" w:lineRule="exact"/>
        <w:ind w:left="0" w:leftChars="0" w:firstLine="616" w:firstLineChars="200"/>
        <w:textAlignment w:val="auto"/>
        <w:rPr>
          <w:rFonts w:hint="eastAsia" w:ascii="仿宋_GB2312" w:eastAsia="仿宋_GB2312"/>
          <w:color w:val="auto"/>
          <w:spacing w:val="-6"/>
          <w:sz w:val="32"/>
          <w:szCs w:val="32"/>
          <w:highlight w:val="none"/>
        </w:rPr>
      </w:pPr>
      <w:r>
        <w:rPr>
          <w:rFonts w:hint="eastAsia"/>
          <w:color w:val="auto"/>
          <w:spacing w:val="-6"/>
          <w:sz w:val="32"/>
          <w:szCs w:val="32"/>
          <w:highlight w:val="none"/>
          <w:lang w:val="en-US" w:eastAsia="zh-CN"/>
        </w:rPr>
        <w:t>3</w:t>
      </w:r>
      <w:r>
        <w:rPr>
          <w:rFonts w:hint="eastAsia" w:ascii="仿宋_GB2312" w:eastAsia="仿宋_GB2312"/>
          <w:color w:val="auto"/>
          <w:spacing w:val="-6"/>
          <w:sz w:val="32"/>
          <w:szCs w:val="32"/>
          <w:highlight w:val="none"/>
          <w:lang w:val="en-US" w:eastAsia="zh-CN"/>
        </w:rPr>
        <w:t>.网上交易系统接收、确认数据信息的时间以系统服务器自动记录的时间为准。</w:t>
      </w:r>
    </w:p>
    <w:p w14:paraId="63D81D7E">
      <w:pPr>
        <w:pStyle w:val="8"/>
        <w:keepNext w:val="0"/>
        <w:keepLines w:val="0"/>
        <w:pageBreakBefore w:val="0"/>
        <w:kinsoku/>
        <w:wordWrap/>
        <w:overflowPunct/>
        <w:topLinePunct w:val="0"/>
        <w:autoSpaceDE/>
        <w:autoSpaceDN/>
        <w:bidi w:val="0"/>
        <w:adjustRightInd/>
        <w:snapToGrid/>
        <w:spacing w:line="560" w:lineRule="exact"/>
        <w:textAlignment w:val="auto"/>
        <w:rPr>
          <w:rFonts w:hint="eastAsia" w:ascii="黑体" w:hAnsi="黑体" w:eastAsia="黑体" w:cs="黑体"/>
          <w:color w:val="000000"/>
          <w:spacing w:val="-6"/>
          <w:sz w:val="32"/>
          <w:szCs w:val="32"/>
          <w:highlight w:val="none"/>
          <w:lang w:val="en-US" w:eastAsia="zh-CN"/>
        </w:rPr>
      </w:pPr>
      <w:r>
        <w:rPr>
          <w:rFonts w:hint="eastAsia" w:ascii="黑体" w:hAnsi="黑体" w:eastAsia="黑体" w:cs="黑体"/>
          <w:color w:val="000000"/>
          <w:spacing w:val="-6"/>
          <w:sz w:val="32"/>
          <w:szCs w:val="32"/>
          <w:highlight w:val="none"/>
          <w:lang w:val="en-US" w:eastAsia="zh-CN"/>
        </w:rPr>
        <w:t>六、竞买保证金银行账号</w:t>
      </w:r>
    </w:p>
    <w:p w14:paraId="7D7A823D">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hAnsi="仿宋_GB2312" w:cs="仿宋_GB2312"/>
          <w:sz w:val="32"/>
          <w:szCs w:val="32"/>
          <w:lang w:val="en-US" w:eastAsia="zh-CN"/>
        </w:rPr>
        <w:t>账户/钱包名</w:t>
      </w:r>
      <w:r>
        <w:rPr>
          <w:rFonts w:hint="eastAsia" w:ascii="仿宋_GB2312" w:hAnsi="仿宋_GB2312" w:eastAsia="仿宋_GB2312" w:cs="仿宋_GB2312"/>
          <w:sz w:val="32"/>
          <w:szCs w:val="32"/>
          <w:lang w:val="en-US" w:eastAsia="zh-CN"/>
        </w:rPr>
        <w:t>称:福州市长乐区公共资源交易服务中心</w:t>
      </w:r>
    </w:p>
    <w:p w14:paraId="1EC72A63">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eastAsia" w:hAnsi="仿宋_GB2312" w:cs="仿宋_GB2312"/>
          <w:sz w:val="32"/>
          <w:szCs w:val="32"/>
          <w:lang w:val="en-US" w:eastAsia="zh-CN"/>
        </w:rPr>
        <w:t>、</w:t>
      </w:r>
      <w:r>
        <w:rPr>
          <w:rFonts w:hint="eastAsia" w:ascii="仿宋_GB2312" w:hAnsi="仿宋_GB2312" w:eastAsia="仿宋_GB2312" w:cs="仿宋_GB2312"/>
          <w:sz w:val="32"/>
          <w:szCs w:val="32"/>
          <w:lang w:val="en-US" w:eastAsia="zh-CN"/>
        </w:rPr>
        <w:t>兴业银行长乐支行</w:t>
      </w:r>
    </w:p>
    <w:p w14:paraId="43E87E1C">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钱包编号：0112</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0600</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0078</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0006</w:t>
      </w:r>
    </w:p>
    <w:p w14:paraId="4BCB799D">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hAnsi="仿宋_GB2312" w:cs="仿宋_GB2312"/>
          <w:sz w:val="32"/>
          <w:szCs w:val="32"/>
          <w:lang w:val="en-US" w:eastAsia="zh-CN"/>
        </w:rPr>
        <w:t>银行账号：</w:t>
      </w:r>
      <w:r>
        <w:rPr>
          <w:rFonts w:hint="eastAsia" w:ascii="仿宋_GB2312" w:hAnsi="Calibri" w:eastAsia="仿宋_GB2312" w:cs="Times New Roman"/>
          <w:color w:val="auto"/>
          <w:kern w:val="2"/>
          <w:sz w:val="32"/>
          <w:szCs w:val="32"/>
          <w:highlight w:val="none"/>
          <w:u w:val="none" w:color="auto"/>
          <w:lang w:val="en-US" w:eastAsia="zh-CN" w:bidi="ar-SA"/>
        </w:rPr>
        <w:t>1105</w:t>
      </w:r>
      <w:r>
        <w:rPr>
          <w:rFonts w:hint="eastAsia" w:cs="Times New Roman"/>
          <w:color w:val="auto"/>
          <w:kern w:val="2"/>
          <w:sz w:val="32"/>
          <w:szCs w:val="32"/>
          <w:highlight w:val="none"/>
          <w:u w:val="none" w:color="auto"/>
          <w:lang w:val="en-US" w:eastAsia="zh-CN" w:bidi="ar-SA"/>
        </w:rPr>
        <w:t xml:space="preserve"> </w:t>
      </w:r>
      <w:r>
        <w:rPr>
          <w:rFonts w:hint="eastAsia" w:ascii="仿宋_GB2312" w:hAnsi="Calibri" w:eastAsia="仿宋_GB2312" w:cs="Times New Roman"/>
          <w:color w:val="auto"/>
          <w:kern w:val="2"/>
          <w:sz w:val="32"/>
          <w:szCs w:val="32"/>
          <w:highlight w:val="none"/>
          <w:u w:val="none" w:color="auto"/>
          <w:lang w:val="en-US" w:eastAsia="zh-CN" w:bidi="ar-SA"/>
        </w:rPr>
        <w:t>1010</w:t>
      </w:r>
      <w:r>
        <w:rPr>
          <w:rFonts w:hint="eastAsia" w:cs="Times New Roman"/>
          <w:color w:val="auto"/>
          <w:kern w:val="2"/>
          <w:sz w:val="32"/>
          <w:szCs w:val="32"/>
          <w:highlight w:val="none"/>
          <w:u w:val="none" w:color="auto"/>
          <w:lang w:val="en-US" w:eastAsia="zh-CN" w:bidi="ar-SA"/>
        </w:rPr>
        <w:t xml:space="preserve"> </w:t>
      </w:r>
      <w:r>
        <w:rPr>
          <w:rFonts w:hint="eastAsia" w:ascii="仿宋_GB2312" w:hAnsi="Calibri" w:eastAsia="仿宋_GB2312" w:cs="Times New Roman"/>
          <w:color w:val="auto"/>
          <w:kern w:val="2"/>
          <w:sz w:val="32"/>
          <w:szCs w:val="32"/>
          <w:highlight w:val="none"/>
          <w:u w:val="none" w:color="auto"/>
          <w:lang w:val="en-US" w:eastAsia="zh-CN" w:bidi="ar-SA"/>
        </w:rPr>
        <w:t>0100</w:t>
      </w:r>
      <w:r>
        <w:rPr>
          <w:rFonts w:hint="eastAsia" w:cs="Times New Roman"/>
          <w:color w:val="auto"/>
          <w:kern w:val="2"/>
          <w:sz w:val="32"/>
          <w:szCs w:val="32"/>
          <w:highlight w:val="none"/>
          <w:u w:val="none" w:color="auto"/>
          <w:lang w:val="en-US" w:eastAsia="zh-CN" w:bidi="ar-SA"/>
        </w:rPr>
        <w:t xml:space="preserve"> </w:t>
      </w:r>
      <w:r>
        <w:rPr>
          <w:rFonts w:hint="eastAsia" w:ascii="仿宋_GB2312" w:hAnsi="Calibri" w:eastAsia="仿宋_GB2312" w:cs="Times New Roman"/>
          <w:color w:val="auto"/>
          <w:kern w:val="2"/>
          <w:sz w:val="32"/>
          <w:szCs w:val="32"/>
          <w:highlight w:val="none"/>
          <w:u w:val="none" w:color="auto"/>
          <w:lang w:val="en-US" w:eastAsia="zh-CN" w:bidi="ar-SA"/>
        </w:rPr>
        <w:t>2757</w:t>
      </w:r>
      <w:r>
        <w:rPr>
          <w:rFonts w:hint="eastAsia" w:cs="Times New Roman"/>
          <w:color w:val="auto"/>
          <w:kern w:val="2"/>
          <w:sz w:val="32"/>
          <w:szCs w:val="32"/>
          <w:highlight w:val="none"/>
          <w:u w:val="none" w:color="auto"/>
          <w:lang w:val="en-US" w:eastAsia="zh-CN" w:bidi="ar-SA"/>
        </w:rPr>
        <w:t xml:space="preserve"> </w:t>
      </w:r>
      <w:r>
        <w:rPr>
          <w:rFonts w:hint="eastAsia" w:ascii="仿宋_GB2312" w:hAnsi="Calibri" w:eastAsia="仿宋_GB2312" w:cs="Times New Roman"/>
          <w:color w:val="auto"/>
          <w:kern w:val="2"/>
          <w:sz w:val="32"/>
          <w:szCs w:val="32"/>
          <w:highlight w:val="none"/>
          <w:u w:val="none" w:color="auto"/>
          <w:lang w:val="en-US" w:eastAsia="zh-CN" w:bidi="ar-SA"/>
        </w:rPr>
        <w:t>74</w:t>
      </w:r>
    </w:p>
    <w:p w14:paraId="473F3E58">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hAnsi="仿宋_GB2312" w:cs="仿宋_GB2312"/>
          <w:sz w:val="32"/>
          <w:szCs w:val="32"/>
          <w:lang w:val="en-US" w:eastAsia="zh-CN"/>
        </w:rPr>
      </w:pPr>
      <w:r>
        <w:rPr>
          <w:rFonts w:hint="eastAsia" w:ascii="仿宋_GB2312" w:hAnsi="仿宋_GB2312" w:eastAsia="仿宋_GB2312" w:cs="仿宋_GB2312"/>
          <w:sz w:val="32"/>
          <w:szCs w:val="32"/>
          <w:lang w:val="en-US" w:eastAsia="zh-CN"/>
        </w:rPr>
        <w:t>2</w:t>
      </w:r>
      <w:r>
        <w:rPr>
          <w:rFonts w:hint="eastAsia" w:hAnsi="仿宋_GB2312" w:cs="仿宋_GB2312"/>
          <w:sz w:val="32"/>
          <w:szCs w:val="32"/>
          <w:lang w:val="en-US" w:eastAsia="zh-CN"/>
        </w:rPr>
        <w:t>、</w:t>
      </w:r>
      <w:r>
        <w:rPr>
          <w:rFonts w:hint="eastAsia" w:ascii="仿宋_GB2312" w:hAnsi="仿宋_GB2312" w:eastAsia="仿宋_GB2312" w:cs="仿宋_GB2312"/>
          <w:sz w:val="32"/>
          <w:szCs w:val="32"/>
          <w:lang w:val="en-US" w:eastAsia="zh-CN"/>
        </w:rPr>
        <w:t>中国农业银行福州长乐支行</w:t>
      </w:r>
    </w:p>
    <w:p w14:paraId="5F26089A">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钱包编号：0032</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0000</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1425</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4397</w:t>
      </w:r>
    </w:p>
    <w:p w14:paraId="42B728A7">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hAnsi="仿宋_GB2312" w:cs="仿宋_GB2312"/>
          <w:sz w:val="32"/>
          <w:szCs w:val="32"/>
          <w:lang w:val="en-US" w:eastAsia="zh-CN"/>
        </w:rPr>
      </w:pPr>
      <w:r>
        <w:rPr>
          <w:rFonts w:hint="eastAsia" w:hAnsi="仿宋_GB2312" w:cs="仿宋_GB2312"/>
          <w:sz w:val="32"/>
          <w:szCs w:val="32"/>
          <w:lang w:val="en-US" w:eastAsia="zh-CN"/>
        </w:rPr>
        <w:t>银行账号：1319 0101 0400 12805</w:t>
      </w:r>
    </w:p>
    <w:p w14:paraId="1EECF64C">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hAnsi="仿宋_GB2312" w:cs="仿宋_GB2312"/>
          <w:sz w:val="32"/>
          <w:szCs w:val="32"/>
          <w:lang w:val="en-US" w:eastAsia="zh-CN"/>
        </w:rPr>
      </w:pPr>
      <w:r>
        <w:rPr>
          <w:rFonts w:hint="eastAsia" w:hAnsi="仿宋_GB2312" w:cs="仿宋_GB2312"/>
          <w:sz w:val="32"/>
          <w:szCs w:val="32"/>
          <w:lang w:val="en-US" w:eastAsia="zh-CN"/>
        </w:rPr>
        <w:t>3、</w:t>
      </w:r>
      <w:r>
        <w:rPr>
          <w:rFonts w:hint="eastAsia" w:ascii="仿宋_GB2312" w:hAnsi="仿宋_GB2312" w:eastAsia="仿宋_GB2312" w:cs="仿宋_GB2312"/>
          <w:sz w:val="32"/>
          <w:szCs w:val="32"/>
          <w:lang w:val="en-US" w:eastAsia="zh-CN"/>
        </w:rPr>
        <w:t>中国建设银行长乐支行</w:t>
      </w:r>
    </w:p>
    <w:p w14:paraId="1F4C03D7">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钱包编号：0052</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2827</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4835</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6228</w:t>
      </w:r>
    </w:p>
    <w:p w14:paraId="7C92A85D">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hAnsi="仿宋_GB2312" w:cs="仿宋_GB2312"/>
          <w:sz w:val="32"/>
          <w:szCs w:val="32"/>
          <w:lang w:val="en-US" w:eastAsia="zh-CN"/>
        </w:rPr>
        <w:t>银行账号：3505 0161 7107 0966 6888</w:t>
      </w:r>
    </w:p>
    <w:p w14:paraId="5DFD5986">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hAnsi="仿宋_GB2312" w:cs="仿宋_GB2312"/>
          <w:sz w:val="32"/>
          <w:szCs w:val="32"/>
          <w:lang w:val="en-US" w:eastAsia="zh-CN"/>
        </w:rPr>
      </w:pPr>
      <w:r>
        <w:rPr>
          <w:rFonts w:hint="eastAsia" w:hAnsi="仿宋_GB2312" w:cs="仿宋_GB2312"/>
          <w:sz w:val="32"/>
          <w:szCs w:val="32"/>
          <w:lang w:val="en-US" w:eastAsia="zh-CN"/>
        </w:rPr>
        <w:t>4、福建长乐农村商业银行营业部</w:t>
      </w:r>
    </w:p>
    <w:p w14:paraId="0299C253">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钱包编号：0042</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0013</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0587</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1582</w:t>
      </w:r>
    </w:p>
    <w:p w14:paraId="01DC68CC">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hAnsi="仿宋_GB2312" w:cs="仿宋_GB2312"/>
          <w:sz w:val="32"/>
          <w:szCs w:val="32"/>
          <w:lang w:val="en-US" w:eastAsia="zh-CN"/>
        </w:rPr>
        <w:t>银行账号：9010 6100 1001 0000 2294 19</w:t>
      </w:r>
    </w:p>
    <w:p w14:paraId="0A4D6CB3">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hAnsi="仿宋_GB2312" w:cs="仿宋_GB2312"/>
          <w:color w:val="auto"/>
          <w:sz w:val="32"/>
          <w:szCs w:val="32"/>
          <w:lang w:val="en-US" w:eastAsia="zh-CN"/>
        </w:rPr>
      </w:pPr>
      <w:r>
        <w:rPr>
          <w:rFonts w:hint="eastAsia" w:hAnsi="仿宋_GB2312" w:cs="仿宋_GB2312"/>
          <w:color w:val="auto"/>
          <w:sz w:val="32"/>
          <w:szCs w:val="32"/>
          <w:lang w:val="en-US" w:eastAsia="zh-CN"/>
        </w:rPr>
        <w:t>5、中国银行长乐支行</w:t>
      </w:r>
    </w:p>
    <w:p w14:paraId="42F9958F">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hAnsi="仿宋_GB2312" w:cs="仿宋_GB2312"/>
          <w:color w:val="auto"/>
          <w:sz w:val="32"/>
          <w:szCs w:val="32"/>
          <w:lang w:val="en-US" w:eastAsia="zh-CN"/>
        </w:rPr>
      </w:pPr>
      <w:r>
        <w:rPr>
          <w:rFonts w:hint="eastAsia" w:hAnsi="仿宋_GB2312" w:cs="仿宋_GB2312"/>
          <w:color w:val="auto"/>
          <w:sz w:val="32"/>
          <w:szCs w:val="32"/>
          <w:lang w:val="en-US" w:eastAsia="zh-CN"/>
        </w:rPr>
        <w:t>钱包编号：0042 0003 4952 1286</w:t>
      </w:r>
    </w:p>
    <w:p w14:paraId="43F9A744">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hAnsi="仿宋_GB2312" w:cs="仿宋_GB2312"/>
          <w:color w:val="auto"/>
          <w:sz w:val="32"/>
          <w:szCs w:val="32"/>
          <w:lang w:val="en-US" w:eastAsia="zh-CN"/>
        </w:rPr>
      </w:pPr>
      <w:r>
        <w:rPr>
          <w:rFonts w:hint="eastAsia" w:hAnsi="仿宋_GB2312" w:cs="仿宋_GB2312"/>
          <w:color w:val="auto"/>
          <w:sz w:val="32"/>
          <w:szCs w:val="32"/>
          <w:lang w:val="en-US" w:eastAsia="zh-CN"/>
        </w:rPr>
        <w:t>银行账号：4156 8149 6233</w:t>
      </w:r>
    </w:p>
    <w:p w14:paraId="3C751E8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eastAsia="仿宋_GB2312" w:cs="Times New Roman"/>
          <w:color w:val="auto"/>
          <w:spacing w:val="-6"/>
          <w:kern w:val="2"/>
          <w:sz w:val="32"/>
          <w:szCs w:val="32"/>
          <w:highlight w:val="none"/>
          <w:u w:val="none"/>
          <w:lang w:val="en-US" w:eastAsia="zh-CN" w:bidi="ar-SA"/>
        </w:rPr>
      </w:pPr>
      <w:r>
        <w:rPr>
          <w:rFonts w:hint="eastAsia" w:ascii="黑体" w:hAnsi="黑体" w:eastAsia="黑体" w:cs="黑体"/>
          <w:b w:val="0"/>
          <w:bCs/>
          <w:color w:val="auto"/>
          <w:kern w:val="2"/>
          <w:sz w:val="32"/>
          <w:szCs w:val="32"/>
          <w:highlight w:val="none"/>
          <w:lang w:val="en-US" w:eastAsia="zh-CN" w:bidi="ar-SA"/>
        </w:rPr>
        <w:t>七、经济指标</w:t>
      </w:r>
    </w:p>
    <w:p w14:paraId="6C9F4D8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auto"/>
          <w:spacing w:val="0"/>
          <w:kern w:val="2"/>
          <w:sz w:val="32"/>
          <w:szCs w:val="32"/>
          <w:highlight w:val="none"/>
          <w:lang w:val="en-US" w:eastAsia="zh-CN" w:bidi="ar"/>
        </w:rPr>
        <w:t>上述</w:t>
      </w:r>
      <w:r>
        <w:rPr>
          <w:rFonts w:hint="eastAsia" w:ascii="仿宋_GB2312" w:eastAsia="仿宋_GB2312" w:cs="Times New Roman"/>
          <w:color w:val="000000"/>
          <w:sz w:val="32"/>
          <w:szCs w:val="32"/>
          <w:highlight w:val="none"/>
          <w:lang w:val="en-US" w:eastAsia="zh-CN"/>
        </w:rPr>
        <w:t>地块投资强度不低于7500元/平方米、年产值不低于9750元/平方米、年税收不低于450元/平方米。具体以《项目投资履约监管协议》为准。</w:t>
      </w:r>
    </w:p>
    <w:p w14:paraId="3F86CED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黑体" w:hAnsi="黑体" w:eastAsia="黑体" w:cs="黑体"/>
          <w:b w:val="0"/>
          <w:bCs/>
          <w:kern w:val="2"/>
          <w:sz w:val="32"/>
          <w:szCs w:val="32"/>
          <w:lang w:val="en-US" w:eastAsia="zh-CN" w:bidi="ar"/>
        </w:rPr>
      </w:pPr>
      <w:r>
        <w:rPr>
          <w:rFonts w:hint="eastAsia" w:ascii="黑体" w:hAnsi="黑体" w:eastAsia="黑体" w:cs="黑体"/>
          <w:b w:val="0"/>
          <w:bCs/>
          <w:kern w:val="2"/>
          <w:sz w:val="32"/>
          <w:szCs w:val="32"/>
          <w:lang w:val="en-US" w:eastAsia="zh-CN" w:bidi="ar"/>
        </w:rPr>
        <w:t>八、其他事项</w:t>
      </w:r>
    </w:p>
    <w:p w14:paraId="300527D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
        </w:rPr>
        <w:t>1.</w:t>
      </w:r>
      <w:r>
        <w:rPr>
          <w:rFonts w:hint="eastAsia" w:ascii="仿宋_GB2312" w:hAnsi="仿宋_GB2312" w:eastAsia="仿宋_GB2312" w:cs="仿宋_GB2312"/>
          <w:kern w:val="2"/>
          <w:sz w:val="32"/>
          <w:szCs w:val="32"/>
          <w:highlight w:val="none"/>
          <w:lang w:val="en-US" w:eastAsia="zh-CN" w:bidi="ar-SA"/>
        </w:rPr>
        <w:t>上述地块成交价款包括土地取得费和出让业务费等（不含城市基础设施配套费和契税）。城市基础设施配套费、契税由竞得人自行缴纳。</w:t>
      </w:r>
    </w:p>
    <w:p w14:paraId="3813A67E">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pacing w:val="-6"/>
          <w:sz w:val="32"/>
          <w:szCs w:val="32"/>
          <w:highlight w:val="none"/>
        </w:rPr>
      </w:pP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color w:val="000000"/>
          <w:sz w:val="32"/>
          <w:szCs w:val="32"/>
          <w:lang w:eastAsia="zh-CN"/>
        </w:rPr>
        <w:t>上述地块竞得人应在土地出让合同签订之日起30日、</w:t>
      </w:r>
      <w:r>
        <w:rPr>
          <w:rFonts w:hint="eastAsia" w:ascii="仿宋_GB2312" w:hAnsi="仿宋_GB2312" w:eastAsia="仿宋_GB2312" w:cs="仿宋_GB2312"/>
          <w:color w:val="000000"/>
          <w:sz w:val="32"/>
          <w:szCs w:val="32"/>
          <w:lang w:val="en-US" w:eastAsia="zh-CN"/>
        </w:rPr>
        <w:t>60</w:t>
      </w:r>
      <w:r>
        <w:rPr>
          <w:rFonts w:hint="eastAsia" w:ascii="仿宋_GB2312" w:hAnsi="仿宋_GB2312" w:eastAsia="仿宋_GB2312" w:cs="仿宋_GB2312"/>
          <w:color w:val="000000"/>
          <w:sz w:val="32"/>
          <w:szCs w:val="32"/>
          <w:lang w:eastAsia="zh-CN"/>
        </w:rPr>
        <w:t>日内分两次缴纳成交价款的50%、50%；上述分期缴款不计利息。为推动数字人民币试点工作，鼓励竞得人以数字人民币缴纳土地价款。为支持外资利用，鼓励竞得人以外资形式缴纳土地价款。</w:t>
      </w:r>
    </w:p>
    <w:p w14:paraId="02C76ED4">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lang w:val="en-US" w:eastAsia="zh-CN"/>
        </w:rPr>
        <w:t>3.</w:t>
      </w:r>
      <w:r>
        <w:rPr>
          <w:rFonts w:hint="eastAsia" w:ascii="仿宋_GB2312" w:hAnsi="仿宋_GB2312" w:eastAsia="仿宋_GB2312" w:cs="仿宋_GB2312"/>
          <w:color w:val="auto"/>
          <w:kern w:val="0"/>
          <w:sz w:val="32"/>
          <w:szCs w:val="32"/>
          <w:highlight w:val="none"/>
          <w:lang w:bidi="ar"/>
        </w:rPr>
        <w:t>上述地块按</w:t>
      </w:r>
      <w:r>
        <w:rPr>
          <w:rFonts w:hint="eastAsia" w:ascii="仿宋_GB2312" w:hAnsi="仿宋_GB2312" w:eastAsia="仿宋_GB2312" w:cs="仿宋_GB2312"/>
          <w:color w:val="auto"/>
          <w:kern w:val="0"/>
          <w:sz w:val="32"/>
          <w:szCs w:val="32"/>
          <w:highlight w:val="none"/>
          <w:lang w:eastAsia="zh-CN" w:bidi="ar"/>
        </w:rPr>
        <w:t>净地交付</w:t>
      </w:r>
      <w:r>
        <w:rPr>
          <w:rFonts w:hint="eastAsia" w:ascii="仿宋_GB2312" w:hAnsi="仿宋_GB2312" w:eastAsia="仿宋_GB2312" w:cs="仿宋_GB2312"/>
          <w:color w:val="auto"/>
          <w:kern w:val="0"/>
          <w:sz w:val="32"/>
          <w:szCs w:val="32"/>
          <w:highlight w:val="none"/>
          <w:lang w:bidi="ar"/>
        </w:rPr>
        <w:t>，由属地乡镇（</w:t>
      </w:r>
      <w:r>
        <w:rPr>
          <w:rFonts w:hint="eastAsia" w:ascii="仿宋_GB2312" w:hAnsi="仿宋_GB2312" w:eastAsia="仿宋_GB2312" w:cs="仿宋_GB2312"/>
          <w:color w:val="auto"/>
          <w:kern w:val="0"/>
          <w:sz w:val="32"/>
          <w:szCs w:val="32"/>
          <w:highlight w:val="none"/>
          <w:lang w:eastAsia="zh-CN" w:bidi="ar"/>
        </w:rPr>
        <w:t>鹤上镇</w:t>
      </w:r>
      <w:r>
        <w:rPr>
          <w:rFonts w:hint="eastAsia" w:ascii="仿宋_GB2312" w:hAnsi="仿宋_GB2312" w:eastAsia="仿宋_GB2312" w:cs="仿宋_GB2312"/>
          <w:color w:val="auto"/>
          <w:kern w:val="0"/>
          <w:sz w:val="32"/>
          <w:szCs w:val="32"/>
          <w:highlight w:val="none"/>
          <w:lang w:bidi="ar"/>
        </w:rPr>
        <w:t>）会同区土地发展中心负责于土地出让合同签订之日起</w:t>
      </w:r>
      <w:r>
        <w:rPr>
          <w:rFonts w:hint="eastAsia" w:ascii="仿宋_GB2312" w:hAnsi="仿宋_GB2312" w:eastAsia="仿宋_GB2312" w:cs="仿宋_GB2312"/>
          <w:color w:val="auto"/>
          <w:kern w:val="0"/>
          <w:sz w:val="32"/>
          <w:szCs w:val="32"/>
          <w:highlight w:val="none"/>
          <w:lang w:val="en-US" w:eastAsia="zh-CN" w:bidi="ar"/>
        </w:rPr>
        <w:t>六</w:t>
      </w:r>
      <w:r>
        <w:rPr>
          <w:rFonts w:hint="eastAsia" w:ascii="仿宋_GB2312" w:hAnsi="仿宋_GB2312" w:eastAsia="仿宋_GB2312" w:cs="仿宋_GB2312"/>
          <w:color w:val="auto"/>
          <w:kern w:val="0"/>
          <w:sz w:val="32"/>
          <w:szCs w:val="32"/>
          <w:highlight w:val="none"/>
          <w:lang w:bidi="ar"/>
        </w:rPr>
        <w:t>个月内交地。受让人应在交地之日起</w:t>
      </w:r>
      <w:r>
        <w:rPr>
          <w:rFonts w:hint="eastAsia" w:ascii="仿宋_GB2312" w:hAnsi="仿宋_GB2312" w:eastAsia="仿宋_GB2312" w:cs="仿宋_GB2312"/>
          <w:color w:val="auto"/>
          <w:kern w:val="0"/>
          <w:sz w:val="32"/>
          <w:szCs w:val="32"/>
          <w:highlight w:val="none"/>
          <w:lang w:val="en-US" w:eastAsia="zh-CN" w:bidi="ar"/>
        </w:rPr>
        <w:t>六</w:t>
      </w:r>
      <w:r>
        <w:rPr>
          <w:rFonts w:hint="eastAsia" w:ascii="仿宋_GB2312" w:hAnsi="仿宋_GB2312" w:eastAsia="仿宋_GB2312" w:cs="仿宋_GB2312"/>
          <w:color w:val="auto"/>
          <w:kern w:val="0"/>
          <w:sz w:val="32"/>
          <w:szCs w:val="32"/>
          <w:highlight w:val="none"/>
          <w:lang w:bidi="ar"/>
        </w:rPr>
        <w:t>个月内开工，开工之日起</w:t>
      </w:r>
      <w:r>
        <w:rPr>
          <w:rFonts w:hint="eastAsia" w:ascii="仿宋_GB2312" w:hAnsi="仿宋_GB2312" w:eastAsia="仿宋_GB2312" w:cs="仿宋_GB2312"/>
          <w:color w:val="auto"/>
          <w:kern w:val="0"/>
          <w:sz w:val="32"/>
          <w:szCs w:val="32"/>
          <w:highlight w:val="none"/>
          <w:lang w:val="en-US" w:eastAsia="zh-CN" w:bidi="ar"/>
        </w:rPr>
        <w:t>两</w:t>
      </w:r>
      <w:r>
        <w:rPr>
          <w:rFonts w:hint="eastAsia" w:ascii="仿宋_GB2312" w:hAnsi="仿宋_GB2312" w:eastAsia="仿宋_GB2312" w:cs="仿宋_GB2312"/>
          <w:color w:val="auto"/>
          <w:kern w:val="0"/>
          <w:sz w:val="32"/>
          <w:szCs w:val="32"/>
          <w:highlight w:val="none"/>
          <w:lang w:bidi="ar"/>
        </w:rPr>
        <w:t>年内竣工</w:t>
      </w:r>
      <w:r>
        <w:rPr>
          <w:rFonts w:hint="eastAsia" w:ascii="仿宋_GB2312" w:hAnsi="仿宋_GB2312" w:eastAsia="仿宋_GB2312" w:cs="仿宋_GB2312"/>
          <w:color w:val="auto"/>
          <w:kern w:val="0"/>
          <w:sz w:val="32"/>
          <w:szCs w:val="32"/>
          <w:highlight w:val="none"/>
          <w:lang w:val="en-US" w:eastAsia="zh-CN" w:bidi="ar"/>
        </w:rPr>
        <w:t>。</w:t>
      </w:r>
    </w:p>
    <w:p w14:paraId="54B0BE96">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pacing w:val="-6"/>
          <w:sz w:val="32"/>
          <w:szCs w:val="32"/>
          <w:highlight w:val="none"/>
        </w:rPr>
      </w:pPr>
      <w:r>
        <w:rPr>
          <w:rFonts w:hint="eastAsia" w:ascii="仿宋_GB2312" w:hAnsi="仿宋_GB2312" w:eastAsia="仿宋_GB2312" w:cs="仿宋_GB2312"/>
          <w:sz w:val="32"/>
          <w:szCs w:val="32"/>
          <w:highlight w:val="none"/>
          <w:lang w:val="en-US" w:eastAsia="zh-CN" w:bidi="ar"/>
        </w:rPr>
        <w:t>4</w:t>
      </w:r>
      <w:r>
        <w:rPr>
          <w:rFonts w:hint="eastAsia" w:ascii="仿宋_GB2312" w:hAnsi="仿宋_GB2312" w:eastAsia="仿宋_GB2312" w:cs="仿宋_GB2312"/>
          <w:sz w:val="32"/>
          <w:szCs w:val="32"/>
          <w:highlight w:val="none"/>
          <w:lang w:bidi="ar"/>
        </w:rPr>
        <w:t>.</w:t>
      </w:r>
      <w:r>
        <w:rPr>
          <w:rFonts w:hint="eastAsia" w:ascii="仿宋_GB2312" w:hAnsi="仿宋_GB2312" w:eastAsia="仿宋_GB2312" w:cs="仿宋_GB2312"/>
          <w:spacing w:val="-6"/>
          <w:sz w:val="32"/>
          <w:szCs w:val="32"/>
          <w:highlight w:val="none"/>
        </w:rPr>
        <w:t>上述地块竞得人未取得项目核准（备案）、环境影响评价批复文件的，不得办理抵押登记。</w:t>
      </w:r>
    </w:p>
    <w:p w14:paraId="6391083A">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bidi="ar"/>
        </w:rPr>
        <w:t>5</w:t>
      </w:r>
      <w:r>
        <w:rPr>
          <w:rFonts w:hint="eastAsia" w:ascii="仿宋_GB2312" w:hAnsi="仿宋_GB2312" w:eastAsia="仿宋_GB2312" w:cs="仿宋_GB2312"/>
          <w:sz w:val="32"/>
          <w:szCs w:val="32"/>
          <w:highlight w:val="none"/>
          <w:lang w:bidi="ar"/>
        </w:rPr>
        <w:t>.</w:t>
      </w:r>
      <w:r>
        <w:rPr>
          <w:rFonts w:hint="eastAsia" w:ascii="仿宋_GB2312" w:hAnsi="仿宋_GB2312" w:eastAsia="仿宋_GB2312" w:cs="仿宋_GB2312"/>
          <w:color w:val="auto"/>
          <w:sz w:val="32"/>
          <w:szCs w:val="32"/>
          <w:highlight w:val="none"/>
        </w:rPr>
        <w:t>上述地块竞得人应按照《福州滨海新城城市信息模型交付通用标准（试行）》（新区规发〔2020〕9号）</w:t>
      </w:r>
      <w:r>
        <w:rPr>
          <w:rFonts w:hint="eastAsia" w:ascii="仿宋_GB2312" w:hAnsi="仿宋_GB2312" w:eastAsia="仿宋_GB2312" w:cs="仿宋_GB2312"/>
          <w:color w:val="auto"/>
          <w:sz w:val="32"/>
          <w:szCs w:val="32"/>
          <w:highlight w:val="none"/>
          <w:lang w:val="en-US" w:eastAsia="zh-CN"/>
        </w:rPr>
        <w:t>相关技术规范及</w:t>
      </w:r>
      <w:r>
        <w:rPr>
          <w:rFonts w:hint="eastAsia" w:ascii="仿宋_GB2312" w:hAnsi="仿宋_GB2312" w:eastAsia="仿宋_GB2312" w:cs="仿宋_GB2312"/>
          <w:color w:val="auto"/>
          <w:sz w:val="32"/>
          <w:szCs w:val="32"/>
          <w:highlight w:val="none"/>
        </w:rPr>
        <w:t>规划和建设行政主管部门</w:t>
      </w:r>
      <w:r>
        <w:rPr>
          <w:rFonts w:hint="eastAsia" w:ascii="仿宋_GB2312" w:hAnsi="仿宋_GB2312" w:eastAsia="仿宋_GB2312" w:cs="仿宋_GB2312"/>
          <w:color w:val="auto"/>
          <w:sz w:val="32"/>
          <w:szCs w:val="32"/>
          <w:highlight w:val="none"/>
          <w:lang w:val="en-US" w:eastAsia="zh-CN"/>
        </w:rPr>
        <w:t>的要求，提交或免于提交项目模型数据。</w:t>
      </w:r>
    </w:p>
    <w:p w14:paraId="3CC29AA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
        </w:rPr>
      </w:pPr>
      <w:r>
        <w:rPr>
          <w:rFonts w:hint="eastAsia" w:ascii="仿宋_GB2312" w:hAnsi="仿宋_GB2312" w:eastAsia="仿宋_GB2312" w:cs="仿宋_GB2312"/>
          <w:kern w:val="2"/>
          <w:sz w:val="32"/>
          <w:szCs w:val="32"/>
          <w:highlight w:val="none"/>
          <w:lang w:val="en-US" w:eastAsia="zh-CN" w:bidi="ar"/>
        </w:rPr>
        <w:t>6.上述地块竞得人必须出具承诺函，承诺将来因政府建设需要，需征用地块的部分或全部土地，竞得人应无条件配合政府征收并自行负责拆除涉及的建筑物，政府除按本次土地出让单价标准（扣除使用年限）加银行同期贷款利息给予补偿外，仅对地面</w:t>
      </w:r>
      <w:r>
        <w:rPr>
          <w:rFonts w:hint="eastAsia" w:ascii="仿宋_GB2312" w:hAnsi="仿宋_GB2312" w:eastAsia="仿宋_GB2312" w:cs="仿宋_GB2312"/>
          <w:spacing w:val="-6"/>
          <w:kern w:val="2"/>
          <w:sz w:val="32"/>
          <w:szCs w:val="32"/>
          <w:highlight w:val="none"/>
          <w:lang w:val="en-US" w:eastAsia="zh-CN" w:bidi="ar"/>
        </w:rPr>
        <w:t>建筑物进行补偿，设备搬迁损失等其他各项费用由竞得人自行负责。</w:t>
      </w:r>
    </w:p>
    <w:p w14:paraId="774ADFFD">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pacing w:val="-6"/>
          <w:sz w:val="32"/>
          <w:szCs w:val="32"/>
          <w:highlight w:val="none"/>
        </w:rPr>
      </w:pPr>
      <w:r>
        <w:rPr>
          <w:rFonts w:hint="eastAsia" w:ascii="仿宋_GB2312" w:hAnsi="仿宋_GB2312" w:eastAsia="仿宋_GB2312" w:cs="仿宋_GB2312"/>
          <w:sz w:val="32"/>
          <w:szCs w:val="32"/>
          <w:highlight w:val="none"/>
          <w:lang w:val="en-US" w:eastAsia="zh-CN" w:bidi="ar"/>
        </w:rPr>
        <w:t>7</w:t>
      </w:r>
      <w:r>
        <w:rPr>
          <w:rFonts w:hint="eastAsia" w:ascii="仿宋_GB2312" w:hAnsi="仿宋_GB2312" w:eastAsia="仿宋_GB2312" w:cs="仿宋_GB2312"/>
          <w:sz w:val="32"/>
          <w:szCs w:val="32"/>
          <w:highlight w:val="none"/>
          <w:lang w:bidi="ar"/>
        </w:rPr>
        <w:t>.</w:t>
      </w:r>
      <w:r>
        <w:rPr>
          <w:rFonts w:hint="eastAsia" w:ascii="仿宋_GB2312" w:hAnsi="仿宋_GB2312" w:eastAsia="仿宋_GB2312" w:cs="仿宋_GB2312"/>
          <w:spacing w:val="-6"/>
          <w:sz w:val="32"/>
          <w:szCs w:val="32"/>
          <w:highlight w:val="none"/>
        </w:rPr>
        <w:t>上述</w:t>
      </w:r>
      <w:r>
        <w:rPr>
          <w:rFonts w:hint="eastAsia" w:ascii="仿宋_GB2312" w:hAnsi="仿宋_GB2312" w:eastAsia="仿宋_GB2312" w:cs="仿宋_GB2312"/>
          <w:sz w:val="32"/>
          <w:szCs w:val="32"/>
          <w:highlight w:val="none"/>
          <w:lang w:bidi="ar"/>
        </w:rPr>
        <w:t>地块</w:t>
      </w:r>
      <w:r>
        <w:rPr>
          <w:rFonts w:hint="eastAsia" w:ascii="仿宋_GB2312" w:hAnsi="仿宋_GB2312" w:eastAsia="仿宋_GB2312" w:cs="仿宋_GB2312"/>
          <w:spacing w:val="-6"/>
          <w:sz w:val="32"/>
          <w:szCs w:val="32"/>
          <w:highlight w:val="none"/>
        </w:rPr>
        <w:t>绿色建筑具体建设要求、建设标准、监督检查和验收等事项由建设主管部门予以落实。</w:t>
      </w:r>
    </w:p>
    <w:p w14:paraId="1541E0E8">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.上述地块内砂石土应按照《福州市长乐区人民政府办公室关于印发&lt;福州市长乐区建设项目产生的砂石土管理实施意见（暂行）&gt;的通知》（长政办〔2024〕102号）有关规定执行。</w:t>
      </w:r>
    </w:p>
    <w:p w14:paraId="62591D8D">
      <w:pPr>
        <w:keepNext w:val="0"/>
        <w:keepLines w:val="0"/>
        <w:pageBreakBefore w:val="0"/>
        <w:widowControl w:val="0"/>
        <w:kinsoku/>
        <w:wordWrap/>
        <w:overflowPunct/>
        <w:topLinePunct w:val="0"/>
        <w:autoSpaceDE/>
        <w:autoSpaceDN/>
        <w:bidi w:val="0"/>
        <w:adjustRightInd/>
        <w:snapToGrid/>
        <w:spacing w:line="560" w:lineRule="exact"/>
        <w:ind w:left="0" w:right="0" w:rightChars="0" w:firstLine="616" w:firstLineChars="200"/>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spacing w:val="-6"/>
          <w:sz w:val="32"/>
          <w:szCs w:val="32"/>
          <w:highlight w:val="none"/>
          <w:lang w:val="en-US" w:eastAsia="zh-CN"/>
        </w:rPr>
        <w:t>9.</w:t>
      </w:r>
      <w:r>
        <w:rPr>
          <w:rFonts w:hint="eastAsia" w:ascii="仿宋_GB2312" w:hAnsi="仿宋_GB2312" w:eastAsia="仿宋_GB2312" w:cs="仿宋_GB2312"/>
          <w:color w:val="auto"/>
          <w:kern w:val="2"/>
          <w:sz w:val="32"/>
          <w:szCs w:val="32"/>
          <w:highlight w:val="none"/>
          <w:lang w:val="en-US" w:eastAsia="zh-CN" w:bidi="ar-SA"/>
        </w:rPr>
        <w:t>本次国有建设用地使用权网上挂牌出让的挂牌人为福州市长乐区公共资源交易服务中心，具体工作由长乐区公共资源交易服务中心主持并组织实施。本次挂牌的详细资料和具体要求，详见挂牌出让文件，竞买申请人应于</w:t>
      </w:r>
      <w:r>
        <w:rPr>
          <w:rFonts w:hint="eastAsia" w:ascii="仿宋_GB2312" w:eastAsia="仿宋_GB2312"/>
          <w:color w:val="auto"/>
          <w:spacing w:val="-6"/>
          <w:sz w:val="32"/>
          <w:szCs w:val="32"/>
          <w:highlight w:val="none"/>
        </w:rPr>
        <w:t>20</w:t>
      </w:r>
      <w:r>
        <w:rPr>
          <w:rFonts w:hint="eastAsia" w:ascii="仿宋_GB2312" w:eastAsia="仿宋_GB2312"/>
          <w:color w:val="auto"/>
          <w:spacing w:val="-6"/>
          <w:sz w:val="32"/>
          <w:szCs w:val="32"/>
          <w:highlight w:val="none"/>
          <w:lang w:val="en-US" w:eastAsia="zh-CN"/>
        </w:rPr>
        <w:t>26</w:t>
      </w:r>
      <w:r>
        <w:rPr>
          <w:rFonts w:hint="eastAsia" w:ascii="仿宋_GB2312" w:eastAsia="仿宋_GB2312"/>
          <w:color w:val="auto"/>
          <w:spacing w:val="-6"/>
          <w:sz w:val="32"/>
          <w:szCs w:val="32"/>
          <w:highlight w:val="none"/>
        </w:rPr>
        <w:t>年</w:t>
      </w:r>
      <w:r>
        <w:rPr>
          <w:rFonts w:hint="eastAsia" w:ascii="仿宋_GB2312" w:eastAsia="仿宋_GB2312"/>
          <w:color w:val="auto"/>
          <w:spacing w:val="-6"/>
          <w:sz w:val="32"/>
          <w:szCs w:val="32"/>
          <w:highlight w:val="none"/>
          <w:lang w:val="en-US" w:eastAsia="zh-CN"/>
        </w:rPr>
        <w:t>7</w:t>
      </w:r>
      <w:r>
        <w:rPr>
          <w:rFonts w:hint="eastAsia" w:ascii="仿宋_GB2312" w:eastAsia="仿宋_GB2312"/>
          <w:color w:val="auto"/>
          <w:spacing w:val="-6"/>
          <w:sz w:val="32"/>
          <w:szCs w:val="32"/>
          <w:highlight w:val="none"/>
        </w:rPr>
        <w:t>月</w:t>
      </w:r>
      <w:r>
        <w:rPr>
          <w:rFonts w:hint="eastAsia" w:ascii="仿宋_GB2312" w:eastAsia="仿宋_GB2312"/>
          <w:color w:val="auto"/>
          <w:spacing w:val="-6"/>
          <w:sz w:val="32"/>
          <w:szCs w:val="32"/>
          <w:highlight w:val="none"/>
          <w:lang w:val="en-US" w:eastAsia="zh-CN"/>
        </w:rPr>
        <w:t>24日</w:t>
      </w:r>
      <w:r>
        <w:rPr>
          <w:rFonts w:hint="eastAsia" w:ascii="仿宋_GB2312" w:eastAsia="仿宋_GB2312"/>
          <w:color w:val="auto"/>
          <w:spacing w:val="-6"/>
          <w:sz w:val="32"/>
          <w:szCs w:val="32"/>
          <w:highlight w:val="none"/>
        </w:rPr>
        <w:t>至20</w:t>
      </w:r>
      <w:r>
        <w:rPr>
          <w:rFonts w:hint="eastAsia" w:ascii="仿宋_GB2312" w:eastAsia="仿宋_GB2312"/>
          <w:color w:val="auto"/>
          <w:spacing w:val="-6"/>
          <w:sz w:val="32"/>
          <w:szCs w:val="32"/>
          <w:highlight w:val="none"/>
          <w:lang w:val="en-US" w:eastAsia="zh-CN"/>
        </w:rPr>
        <w:t>26年8</w:t>
      </w:r>
      <w:r>
        <w:rPr>
          <w:rFonts w:hint="eastAsia" w:ascii="仿宋_GB2312" w:eastAsia="仿宋_GB2312"/>
          <w:color w:val="auto"/>
          <w:spacing w:val="-6"/>
          <w:sz w:val="32"/>
          <w:szCs w:val="32"/>
          <w:highlight w:val="none"/>
        </w:rPr>
        <w:t>月</w:t>
      </w:r>
      <w:r>
        <w:rPr>
          <w:rFonts w:hint="eastAsia" w:ascii="仿宋_GB2312" w:eastAsia="仿宋_GB2312"/>
          <w:color w:val="auto"/>
          <w:spacing w:val="-6"/>
          <w:sz w:val="32"/>
          <w:szCs w:val="32"/>
          <w:highlight w:val="none"/>
          <w:lang w:val="en-US" w:eastAsia="zh-CN"/>
        </w:rPr>
        <w:t>4</w:t>
      </w:r>
      <w:r>
        <w:rPr>
          <w:rFonts w:hint="eastAsia" w:ascii="仿宋_GB2312" w:eastAsia="仿宋_GB2312"/>
          <w:color w:val="auto"/>
          <w:spacing w:val="-6"/>
          <w:sz w:val="32"/>
          <w:szCs w:val="32"/>
          <w:highlight w:val="none"/>
        </w:rPr>
        <w:t>日</w:t>
      </w:r>
      <w:r>
        <w:rPr>
          <w:rFonts w:hint="eastAsia" w:ascii="仿宋_GB2312" w:hAnsi="仿宋_GB2312" w:eastAsia="仿宋_GB2312" w:cs="仿宋_GB2312"/>
          <w:color w:val="auto"/>
          <w:kern w:val="2"/>
          <w:sz w:val="32"/>
          <w:szCs w:val="32"/>
          <w:highlight w:val="none"/>
          <w:lang w:val="en-US" w:eastAsia="zh-CN" w:bidi="ar-SA"/>
        </w:rPr>
        <w:t>的工作日期间，9:00至12:00，13:30至17:30，携带本人身份证件到福州市长乐区公共资源交易服务中心（福州市长乐区文武砂街道湖文路201号福州新区政务服务中心4层417）获取本次挂牌出让文件。</w:t>
      </w:r>
    </w:p>
    <w:p w14:paraId="6137F6DE">
      <w:pPr>
        <w:keepNext w:val="0"/>
        <w:keepLines w:val="0"/>
        <w:pageBreakBefore w:val="0"/>
        <w:widowControl w:val="0"/>
        <w:kinsoku/>
        <w:wordWrap/>
        <w:overflowPunct/>
        <w:topLinePunct w:val="0"/>
        <w:autoSpaceDE/>
        <w:autoSpaceDN/>
        <w:bidi w:val="0"/>
        <w:adjustRightInd/>
        <w:snapToGrid/>
        <w:spacing w:line="560" w:lineRule="exact"/>
        <w:ind w:right="0" w:rightChars="0" w:firstLine="640"/>
        <w:jc w:val="both"/>
        <w:textAlignment w:val="auto"/>
        <w:outlineLvl w:val="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10.竞买申请人应认真阅读挂牌出让文件，并在竞买申请的报名时间内向挂牌人提交有效的营业执照、法定代表人证明、法人身份证（或护照）、竞买保证金的缴款凭证（申请人的竞买保证金必须汇至指定的账户）等相关证明文件，并在规定的期间内登录网上交易系统进行网上报价和竞买。</w:t>
      </w:r>
    </w:p>
    <w:p w14:paraId="6DF3842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Times New Roman" w:eastAsia="仿宋_GB2312" w:cs="Times New Roman"/>
          <w:color w:val="auto"/>
          <w:kern w:val="0"/>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11.本公告内容与挂牌出让文件不一致的，以挂牌出让文件为准。</w:t>
      </w:r>
    </w:p>
    <w:p w14:paraId="3FB745E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color w:val="auto"/>
          <w:kern w:val="0"/>
          <w:sz w:val="32"/>
          <w:szCs w:val="32"/>
          <w:highlight w:val="none"/>
          <w:shd w:val="clear" w:color="auto" w:fill="FFFFFF"/>
          <w:lang w:bidi="ar"/>
        </w:rPr>
      </w:pPr>
      <w:r>
        <w:rPr>
          <w:rFonts w:hint="eastAsia" w:ascii="黑体" w:hAnsi="黑体" w:eastAsia="黑体" w:cs="黑体"/>
          <w:b w:val="0"/>
          <w:bCs/>
          <w:color w:val="auto"/>
          <w:kern w:val="0"/>
          <w:sz w:val="32"/>
          <w:szCs w:val="32"/>
          <w:highlight w:val="none"/>
          <w:shd w:val="clear" w:color="auto" w:fill="FFFFFF"/>
          <w:lang w:eastAsia="zh-CN" w:bidi="ar"/>
        </w:rPr>
        <w:t>九</w:t>
      </w:r>
      <w:r>
        <w:rPr>
          <w:rFonts w:hint="eastAsia" w:ascii="黑体" w:hAnsi="黑体" w:eastAsia="黑体" w:cs="黑体"/>
          <w:b w:val="0"/>
          <w:bCs/>
          <w:color w:val="auto"/>
          <w:kern w:val="0"/>
          <w:sz w:val="32"/>
          <w:szCs w:val="32"/>
          <w:highlight w:val="none"/>
          <w:shd w:val="clear" w:color="auto" w:fill="FFFFFF"/>
          <w:lang w:bidi="ar"/>
        </w:rPr>
        <w:t>、联系方式</w:t>
      </w:r>
    </w:p>
    <w:p w14:paraId="352739C9">
      <w:pPr>
        <w:keepNext w:val="0"/>
        <w:keepLines w:val="0"/>
        <w:pageBreakBefore w:val="0"/>
        <w:numPr>
          <w:ilvl w:val="0"/>
          <w:numId w:val="0"/>
        </w:numPr>
        <w:kinsoku/>
        <w:wordWrap/>
        <w:overflowPunct/>
        <w:topLinePunct w:val="0"/>
        <w:autoSpaceDE/>
        <w:autoSpaceDN/>
        <w:bidi w:val="0"/>
        <w:adjustRightInd/>
        <w:snapToGrid/>
        <w:spacing w:before="0" w:after="0" w:line="560" w:lineRule="exact"/>
        <w:ind w:right="0" w:rightChars="0" w:firstLine="640"/>
        <w:jc w:val="both"/>
        <w:textAlignment w:val="auto"/>
        <w:outlineLvl w:val="9"/>
        <w:rPr>
          <w:rFonts w:hint="eastAsia" w:ascii="仿宋_GB2312" w:hAnsi="宋体" w:eastAsia="仿宋_GB2312" w:cs="仿宋_GB2312"/>
          <w:b w:val="0"/>
          <w:i w:val="0"/>
          <w:caps w:val="0"/>
          <w:color w:val="auto"/>
          <w:spacing w:val="0"/>
          <w:kern w:val="0"/>
          <w:sz w:val="32"/>
          <w:szCs w:val="32"/>
          <w:highlight w:val="none"/>
          <w:u w:val="none"/>
          <w:shd w:val="clear" w:color="auto" w:fill="FFFFFF"/>
          <w:lang w:val="en-US" w:eastAsia="zh-CN" w:bidi="ar"/>
        </w:rPr>
      </w:pPr>
      <w:r>
        <w:rPr>
          <w:rFonts w:hint="eastAsia" w:ascii="仿宋_GB2312" w:hAnsi="宋体" w:eastAsia="仿宋_GB2312" w:cs="仿宋_GB2312"/>
          <w:b w:val="0"/>
          <w:i w:val="0"/>
          <w:caps w:val="0"/>
          <w:color w:val="auto"/>
          <w:spacing w:val="0"/>
          <w:kern w:val="0"/>
          <w:sz w:val="32"/>
          <w:szCs w:val="32"/>
          <w:highlight w:val="none"/>
          <w:u w:val="none"/>
          <w:shd w:val="clear" w:color="auto" w:fill="FFFFFF"/>
          <w:lang w:val="en-US" w:eastAsia="zh-CN" w:bidi="ar"/>
        </w:rPr>
        <w:t>联系地址：</w:t>
      </w:r>
      <w:r>
        <w:rPr>
          <w:rFonts w:hint="eastAsia" w:ascii="仿宋_GB2312" w:hAnsi="Calibri" w:eastAsia="仿宋_GB2312" w:cs="Times New Roman"/>
          <w:color w:val="auto"/>
          <w:kern w:val="2"/>
          <w:sz w:val="32"/>
          <w:szCs w:val="32"/>
          <w:highlight w:val="none"/>
          <w:lang w:val="en-US" w:eastAsia="zh-CN" w:bidi="ar-SA"/>
        </w:rPr>
        <w:t>福州市</w:t>
      </w:r>
      <w:r>
        <w:rPr>
          <w:rFonts w:hint="eastAsia" w:ascii="仿宋_GB2312" w:eastAsia="仿宋_GB2312" w:cs="Times New Roman"/>
          <w:color w:val="auto"/>
          <w:kern w:val="2"/>
          <w:sz w:val="32"/>
          <w:szCs w:val="32"/>
          <w:highlight w:val="none"/>
          <w:lang w:val="en-US" w:eastAsia="zh-CN" w:bidi="ar-SA"/>
        </w:rPr>
        <w:t>长乐区</w:t>
      </w:r>
      <w:r>
        <w:rPr>
          <w:rFonts w:hint="eastAsia" w:ascii="仿宋_GB2312" w:hAnsi="Calibri" w:eastAsia="仿宋_GB2312" w:cs="Times New Roman"/>
          <w:color w:val="auto"/>
          <w:kern w:val="2"/>
          <w:sz w:val="32"/>
          <w:szCs w:val="32"/>
          <w:highlight w:val="none"/>
          <w:lang w:val="en-US" w:eastAsia="zh-CN" w:bidi="ar-SA"/>
        </w:rPr>
        <w:t>公共资源交易服务中心</w:t>
      </w:r>
    </w:p>
    <w:p w14:paraId="4FAB0901">
      <w:pPr>
        <w:keepNext w:val="0"/>
        <w:keepLines w:val="0"/>
        <w:pageBreakBefore w:val="0"/>
        <w:numPr>
          <w:ilvl w:val="0"/>
          <w:numId w:val="0"/>
        </w:numPr>
        <w:kinsoku/>
        <w:wordWrap/>
        <w:overflowPunct/>
        <w:topLinePunct w:val="0"/>
        <w:autoSpaceDE/>
        <w:autoSpaceDN/>
        <w:bidi w:val="0"/>
        <w:adjustRightInd/>
        <w:snapToGrid/>
        <w:spacing w:before="0" w:after="0" w:line="560" w:lineRule="exact"/>
        <w:ind w:right="0" w:rightChars="0" w:firstLine="640"/>
        <w:jc w:val="left"/>
        <w:textAlignment w:val="auto"/>
        <w:outlineLvl w:val="9"/>
        <w:rPr>
          <w:rFonts w:hint="eastAsia" w:ascii="仿宋_GB2312" w:hAnsi="宋体" w:eastAsia="仿宋_GB2312" w:cs="仿宋_GB2312"/>
          <w:b w:val="0"/>
          <w:i w:val="0"/>
          <w:caps w:val="0"/>
          <w:color w:val="000000"/>
          <w:spacing w:val="0"/>
          <w:kern w:val="0"/>
          <w:sz w:val="32"/>
          <w:szCs w:val="32"/>
          <w:highlight w:val="none"/>
          <w:u w:val="none"/>
          <w:shd w:val="clear" w:color="auto" w:fill="FFFFFF"/>
          <w:lang w:val="en-US" w:eastAsia="zh-CN" w:bidi="ar"/>
        </w:rPr>
      </w:pPr>
      <w:r>
        <w:rPr>
          <w:rFonts w:hint="eastAsia" w:ascii="仿宋_GB2312" w:hAnsi="宋体" w:eastAsia="仿宋_GB2312" w:cs="仿宋_GB2312"/>
          <w:b w:val="0"/>
          <w:i w:val="0"/>
          <w:caps w:val="0"/>
          <w:color w:val="000000"/>
          <w:spacing w:val="0"/>
          <w:kern w:val="0"/>
          <w:sz w:val="32"/>
          <w:szCs w:val="32"/>
          <w:highlight w:val="none"/>
          <w:u w:val="none"/>
          <w:shd w:val="clear" w:color="auto" w:fill="FFFFFF"/>
          <w:lang w:val="en-US" w:eastAsia="zh-CN" w:bidi="ar"/>
        </w:rPr>
        <w:t>联系电话：0591-28828805</w:t>
      </w:r>
    </w:p>
    <w:p w14:paraId="7DA4295E">
      <w:pPr>
        <w:keepNext w:val="0"/>
        <w:keepLines w:val="0"/>
        <w:pageBreakBefore w:val="0"/>
        <w:numPr>
          <w:ilvl w:val="0"/>
          <w:numId w:val="0"/>
        </w:numPr>
        <w:kinsoku/>
        <w:wordWrap/>
        <w:overflowPunct/>
        <w:topLinePunct w:val="0"/>
        <w:autoSpaceDE/>
        <w:autoSpaceDN/>
        <w:bidi w:val="0"/>
        <w:adjustRightInd/>
        <w:snapToGrid/>
        <w:spacing w:before="0" w:after="0" w:line="560" w:lineRule="exact"/>
        <w:ind w:right="0" w:rightChars="0" w:firstLine="640"/>
        <w:jc w:val="both"/>
        <w:textAlignment w:val="auto"/>
        <w:outlineLvl w:val="9"/>
        <w:rPr>
          <w:rFonts w:hint="eastAsia" w:ascii="仿宋_GB2312" w:hAnsi="宋体" w:eastAsia="仿宋_GB2312" w:cs="仿宋_GB2312"/>
          <w:b w:val="0"/>
          <w:i w:val="0"/>
          <w:caps w:val="0"/>
          <w:color w:val="000000"/>
          <w:spacing w:val="0"/>
          <w:kern w:val="0"/>
          <w:sz w:val="32"/>
          <w:szCs w:val="32"/>
          <w:highlight w:val="none"/>
          <w:u w:val="none"/>
          <w:shd w:val="clear" w:color="auto" w:fill="FFFFFF"/>
          <w:lang w:val="en-US" w:eastAsia="zh-CN" w:bidi="ar"/>
        </w:rPr>
      </w:pPr>
      <w:r>
        <w:rPr>
          <w:rFonts w:hint="eastAsia" w:ascii="仿宋_GB2312" w:hAnsi="宋体" w:eastAsia="仿宋_GB2312" w:cs="仿宋_GB2312"/>
          <w:b w:val="0"/>
          <w:i w:val="0"/>
          <w:caps w:val="0"/>
          <w:color w:val="000000"/>
          <w:spacing w:val="0"/>
          <w:kern w:val="0"/>
          <w:sz w:val="32"/>
          <w:szCs w:val="32"/>
          <w:highlight w:val="none"/>
          <w:u w:val="none"/>
          <w:shd w:val="clear" w:color="auto" w:fill="FFFFFF"/>
          <w:lang w:val="en-US" w:eastAsia="zh-CN" w:bidi="ar"/>
        </w:rPr>
        <w:t>联系地址：福州市长乐区自然资源和规划局</w:t>
      </w:r>
    </w:p>
    <w:p w14:paraId="2883064E">
      <w:pPr>
        <w:keepNext w:val="0"/>
        <w:keepLines w:val="0"/>
        <w:pageBreakBefore w:val="0"/>
        <w:numPr>
          <w:ilvl w:val="0"/>
          <w:numId w:val="0"/>
        </w:numPr>
        <w:kinsoku/>
        <w:wordWrap/>
        <w:overflowPunct/>
        <w:topLinePunct w:val="0"/>
        <w:autoSpaceDE/>
        <w:autoSpaceDN/>
        <w:bidi w:val="0"/>
        <w:adjustRightInd/>
        <w:snapToGrid/>
        <w:spacing w:before="0" w:after="0" w:line="560" w:lineRule="exact"/>
        <w:ind w:right="0" w:rightChars="0" w:firstLine="640"/>
        <w:jc w:val="both"/>
        <w:textAlignment w:val="auto"/>
        <w:outlineLvl w:val="9"/>
        <w:rPr>
          <w:rFonts w:hint="eastAsia" w:ascii="仿宋_GB2312" w:hAnsi="仿宋_GB2312" w:eastAsia="仿宋_GB2312" w:cs="仿宋_GB2312"/>
          <w:highlight w:val="none"/>
          <w:lang w:val="en-US" w:eastAsia="zh-CN"/>
        </w:rPr>
      </w:pPr>
      <w:r>
        <w:rPr>
          <w:rFonts w:hint="eastAsia" w:ascii="仿宋_GB2312" w:hAnsi="宋体" w:eastAsia="仿宋_GB2312" w:cs="仿宋_GB2312"/>
          <w:b w:val="0"/>
          <w:i w:val="0"/>
          <w:caps w:val="0"/>
          <w:color w:val="000000"/>
          <w:spacing w:val="0"/>
          <w:kern w:val="0"/>
          <w:sz w:val="32"/>
          <w:szCs w:val="32"/>
          <w:highlight w:val="none"/>
          <w:u w:val="none"/>
          <w:shd w:val="clear" w:color="auto" w:fill="FFFFFF"/>
          <w:lang w:val="en-US" w:eastAsia="zh-CN" w:bidi="ar"/>
        </w:rPr>
        <w:t>联系电话：0591-28810219</w:t>
      </w:r>
    </w:p>
    <w:p w14:paraId="08F6607A">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hAnsi="仿宋_GB2312" w:eastAsia="仿宋_GB2312" w:cs="仿宋_GB2312"/>
          <w:color w:val="000000"/>
          <w:sz w:val="32"/>
          <w:szCs w:val="32"/>
          <w:lang w:eastAsia="zh-CN"/>
        </w:rPr>
      </w:pPr>
    </w:p>
    <w:p w14:paraId="4FE3412B">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hAnsi="仿宋_GB2312" w:cs="仿宋_GB2312"/>
          <w:color w:val="000000"/>
          <w:sz w:val="32"/>
          <w:szCs w:val="32"/>
        </w:rPr>
      </w:pPr>
    </w:p>
    <w:p w14:paraId="5A881D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right"/>
        <w:textAlignment w:val="auto"/>
        <w:rPr>
          <w:rFonts w:hint="eastAsia" w:ascii="仿宋_GB2312" w:hAnsi="仿宋_GB2312" w:eastAsia="仿宋_GB2312" w:cs="仿宋_GB2312"/>
          <w:sz w:val="32"/>
          <w:szCs w:val="32"/>
          <w:lang w:val="en-US"/>
        </w:rPr>
      </w:pPr>
      <w:r>
        <w:rPr>
          <w:rFonts w:hint="eastAsia" w:ascii="仿宋_GB2312" w:hAnsi="仿宋_GB2312" w:eastAsia="仿宋_GB2312" w:cs="仿宋_GB2312"/>
          <w:kern w:val="2"/>
          <w:sz w:val="32"/>
          <w:szCs w:val="32"/>
          <w:lang w:val="en-US" w:eastAsia="zh-CN" w:bidi="ar"/>
        </w:rPr>
        <w:t>福州市长乐区自然资源和规划局</w:t>
      </w:r>
    </w:p>
    <w:p w14:paraId="140229C0">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 xml:space="preserve">                                   2026年7月3日</w:t>
      </w:r>
    </w:p>
    <w:p w14:paraId="1EA92B5E">
      <w:pPr>
        <w:pStyle w:val="2"/>
        <w:keepNext w:val="0"/>
        <w:keepLines w:val="0"/>
        <w:pageBreakBefore w:val="0"/>
        <w:kinsoku/>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2"/>
          <w:szCs w:val="32"/>
          <w:lang w:val="en-US" w:eastAsia="zh-CN" w:bidi="ar"/>
        </w:rPr>
      </w:pPr>
    </w:p>
    <w:p w14:paraId="07605C08">
      <w:pPr>
        <w:pStyle w:val="2"/>
        <w:keepNext w:val="0"/>
        <w:keepLines w:val="0"/>
        <w:pageBreakBefore w:val="0"/>
        <w:kinsoku/>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2"/>
          <w:szCs w:val="32"/>
          <w:lang w:val="en-US" w:eastAsia="zh-CN" w:bidi="ar"/>
        </w:rPr>
      </w:pPr>
    </w:p>
    <w:p w14:paraId="2EBF26A8">
      <w:pPr>
        <w:pStyle w:val="2"/>
        <w:keepNext w:val="0"/>
        <w:keepLines w:val="0"/>
        <w:pageBreakBefore w:val="0"/>
        <w:kinsoku/>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2"/>
          <w:szCs w:val="32"/>
          <w:lang w:val="en-US" w:eastAsia="zh-CN" w:bidi="ar"/>
        </w:rPr>
      </w:pPr>
    </w:p>
    <w:p w14:paraId="1D3F1402">
      <w:pPr>
        <w:pStyle w:val="2"/>
        <w:keepNext w:val="0"/>
        <w:keepLines w:val="0"/>
        <w:pageBreakBefore w:val="0"/>
        <w:kinsoku/>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2"/>
          <w:szCs w:val="32"/>
          <w:lang w:val="en-US" w:eastAsia="zh-CN" w:bidi="ar"/>
        </w:rPr>
      </w:pPr>
    </w:p>
    <w:p w14:paraId="01BCFCC9">
      <w:pPr>
        <w:pStyle w:val="2"/>
        <w:keepNext w:val="0"/>
        <w:keepLines w:val="0"/>
        <w:pageBreakBefore w:val="0"/>
        <w:kinsoku/>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2"/>
          <w:szCs w:val="32"/>
          <w:lang w:val="en-US" w:eastAsia="zh-CN" w:bidi="ar"/>
        </w:rPr>
      </w:pPr>
    </w:p>
    <w:bookmarkEnd w:id="1"/>
    <w:p w14:paraId="23F39738">
      <w:pPr>
        <w:pStyle w:val="2"/>
        <w:keepNext w:val="0"/>
        <w:keepLines w:val="0"/>
        <w:pageBreakBefore w:val="0"/>
        <w:kinsoku/>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2"/>
          <w:szCs w:val="32"/>
          <w:lang w:val="en-US" w:eastAsia="zh-CN" w:bidi="ar"/>
        </w:rPr>
      </w:pPr>
    </w:p>
    <w:sectPr>
      <w:footerReference r:id="rId3" w:type="default"/>
      <w:pgSz w:w="11906" w:h="16838"/>
      <w:pgMar w:top="2098" w:right="1474" w:bottom="1984"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C0EF6">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B826E">
                          <w:pPr>
                            <w:pStyle w:val="6"/>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BB826E">
                    <w:pPr>
                      <w:pStyle w:val="6"/>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1NDMwMjZjODkyYmNlZTQ1Njg3MGVjZDY2NGExNjUifQ=="/>
  </w:docVars>
  <w:rsids>
    <w:rsidRoot w:val="00000000"/>
    <w:rsid w:val="00186BF0"/>
    <w:rsid w:val="004C5720"/>
    <w:rsid w:val="00AB1812"/>
    <w:rsid w:val="00F211EF"/>
    <w:rsid w:val="02493D31"/>
    <w:rsid w:val="02A816E8"/>
    <w:rsid w:val="02BA51EB"/>
    <w:rsid w:val="03E05C76"/>
    <w:rsid w:val="05C93585"/>
    <w:rsid w:val="060408C5"/>
    <w:rsid w:val="063302DF"/>
    <w:rsid w:val="08586344"/>
    <w:rsid w:val="09A84B40"/>
    <w:rsid w:val="0A8455AD"/>
    <w:rsid w:val="0ABC2641"/>
    <w:rsid w:val="0B1948A8"/>
    <w:rsid w:val="0BCB4B16"/>
    <w:rsid w:val="0BEC4776"/>
    <w:rsid w:val="0FE8038D"/>
    <w:rsid w:val="10874D2A"/>
    <w:rsid w:val="11D479A3"/>
    <w:rsid w:val="11D72467"/>
    <w:rsid w:val="12B45FB7"/>
    <w:rsid w:val="12BA25B7"/>
    <w:rsid w:val="12E7492B"/>
    <w:rsid w:val="14234069"/>
    <w:rsid w:val="143040B0"/>
    <w:rsid w:val="152E0F4F"/>
    <w:rsid w:val="155729DA"/>
    <w:rsid w:val="15A16637"/>
    <w:rsid w:val="16315EBE"/>
    <w:rsid w:val="16895CFA"/>
    <w:rsid w:val="17885FB1"/>
    <w:rsid w:val="18664D99"/>
    <w:rsid w:val="187701E4"/>
    <w:rsid w:val="187A7FF0"/>
    <w:rsid w:val="191E4E1F"/>
    <w:rsid w:val="19A1233B"/>
    <w:rsid w:val="1AAB4D8E"/>
    <w:rsid w:val="1B4B17D0"/>
    <w:rsid w:val="1CCE090A"/>
    <w:rsid w:val="1DED4DC0"/>
    <w:rsid w:val="1E8A6AB3"/>
    <w:rsid w:val="224D0523"/>
    <w:rsid w:val="226E0F21"/>
    <w:rsid w:val="230C5CE8"/>
    <w:rsid w:val="23865A9B"/>
    <w:rsid w:val="24232784"/>
    <w:rsid w:val="25537BFE"/>
    <w:rsid w:val="25CB1441"/>
    <w:rsid w:val="27644345"/>
    <w:rsid w:val="291C5438"/>
    <w:rsid w:val="292813A2"/>
    <w:rsid w:val="29583A35"/>
    <w:rsid w:val="2C2C73FB"/>
    <w:rsid w:val="2CA52F45"/>
    <w:rsid w:val="2CB35427"/>
    <w:rsid w:val="2D522E91"/>
    <w:rsid w:val="2E256F93"/>
    <w:rsid w:val="2FDC432A"/>
    <w:rsid w:val="345319C9"/>
    <w:rsid w:val="355A6D87"/>
    <w:rsid w:val="360F1920"/>
    <w:rsid w:val="369B5353"/>
    <w:rsid w:val="373C0DAF"/>
    <w:rsid w:val="38251DE4"/>
    <w:rsid w:val="38B27791"/>
    <w:rsid w:val="39A607ED"/>
    <w:rsid w:val="3A4122C4"/>
    <w:rsid w:val="3A946897"/>
    <w:rsid w:val="3B225C51"/>
    <w:rsid w:val="3D4F2F4A"/>
    <w:rsid w:val="3D51281E"/>
    <w:rsid w:val="3E2714F4"/>
    <w:rsid w:val="3E362352"/>
    <w:rsid w:val="3E6D7B2B"/>
    <w:rsid w:val="3F8A6905"/>
    <w:rsid w:val="3FE7748A"/>
    <w:rsid w:val="40F502B1"/>
    <w:rsid w:val="411029F0"/>
    <w:rsid w:val="412D4236"/>
    <w:rsid w:val="46FB771E"/>
    <w:rsid w:val="47A21E3A"/>
    <w:rsid w:val="488B1797"/>
    <w:rsid w:val="48E704DA"/>
    <w:rsid w:val="48F0064E"/>
    <w:rsid w:val="49153299"/>
    <w:rsid w:val="49E8275C"/>
    <w:rsid w:val="4AC13571"/>
    <w:rsid w:val="4D566F36"/>
    <w:rsid w:val="4D643F00"/>
    <w:rsid w:val="4D9C7AE5"/>
    <w:rsid w:val="4DED0341"/>
    <w:rsid w:val="4F1752DF"/>
    <w:rsid w:val="4F561F16"/>
    <w:rsid w:val="4FAB5F2A"/>
    <w:rsid w:val="4FD95020"/>
    <w:rsid w:val="500656EA"/>
    <w:rsid w:val="50122F5D"/>
    <w:rsid w:val="50B4298A"/>
    <w:rsid w:val="52974B1E"/>
    <w:rsid w:val="53B73FA9"/>
    <w:rsid w:val="53C140E5"/>
    <w:rsid w:val="54B0031A"/>
    <w:rsid w:val="54D73AF9"/>
    <w:rsid w:val="56A121D9"/>
    <w:rsid w:val="58615BB3"/>
    <w:rsid w:val="5A3A101C"/>
    <w:rsid w:val="5A8738CB"/>
    <w:rsid w:val="5BAF32EC"/>
    <w:rsid w:val="5BE122B7"/>
    <w:rsid w:val="5CA6628A"/>
    <w:rsid w:val="5CBA7F88"/>
    <w:rsid w:val="5DDA012C"/>
    <w:rsid w:val="5E767EDE"/>
    <w:rsid w:val="5F28567D"/>
    <w:rsid w:val="602D0A71"/>
    <w:rsid w:val="62E418BB"/>
    <w:rsid w:val="65142DD0"/>
    <w:rsid w:val="654C1999"/>
    <w:rsid w:val="67AE693B"/>
    <w:rsid w:val="68792AA5"/>
    <w:rsid w:val="68E57E7A"/>
    <w:rsid w:val="6AD44F64"/>
    <w:rsid w:val="6C165A05"/>
    <w:rsid w:val="6E8403F6"/>
    <w:rsid w:val="6EB05C3D"/>
    <w:rsid w:val="6EF94C38"/>
    <w:rsid w:val="6F891917"/>
    <w:rsid w:val="710E5EDF"/>
    <w:rsid w:val="716167CC"/>
    <w:rsid w:val="720F2338"/>
    <w:rsid w:val="77974CF6"/>
    <w:rsid w:val="784B4877"/>
    <w:rsid w:val="7A721A4A"/>
    <w:rsid w:val="7A8D23E0"/>
    <w:rsid w:val="7ACC2F08"/>
    <w:rsid w:val="7AE53FCA"/>
    <w:rsid w:val="7B666687"/>
    <w:rsid w:val="7C9C4B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styleId="3">
    <w:name w:val="Body Text"/>
    <w:basedOn w:val="1"/>
    <w:qFormat/>
    <w:uiPriority w:val="0"/>
  </w:style>
  <w:style w:type="paragraph" w:styleId="4">
    <w:name w:val="Body Text Indent"/>
    <w:basedOn w:val="1"/>
    <w:qFormat/>
    <w:uiPriority w:val="0"/>
    <w:pPr>
      <w:keepNext w:val="0"/>
      <w:keepLines w:val="0"/>
      <w:widowControl w:val="0"/>
      <w:suppressLineNumbers w:val="0"/>
      <w:spacing w:before="0" w:beforeAutospacing="0" w:after="0" w:afterAutospacing="0"/>
      <w:ind w:left="0" w:right="0" w:firstLine="640" w:firstLineChars="200"/>
      <w:jc w:val="both"/>
    </w:pPr>
    <w:rPr>
      <w:rFonts w:hint="default" w:ascii="Times New Roman" w:hAnsi="Times New Roman" w:eastAsia="宋体" w:cs="Times New Roman"/>
      <w:kern w:val="2"/>
      <w:sz w:val="32"/>
      <w:szCs w:val="24"/>
      <w:lang w:val="en-US" w:eastAsia="zh-CN" w:bidi="ar"/>
    </w:rPr>
  </w:style>
  <w:style w:type="paragraph" w:styleId="5">
    <w:name w:val="Plain Text"/>
    <w:basedOn w:val="1"/>
    <w:qFormat/>
    <w:uiPriority w:val="0"/>
    <w:rPr>
      <w:rFonts w:ascii="宋体" w:hAnsi="Courier New"/>
    </w:rPr>
  </w:style>
  <w:style w:type="paragraph" w:styleId="6">
    <w:name w:val="footer"/>
    <w:basedOn w:val="1"/>
    <w:qFormat/>
    <w:uiPriority w:val="0"/>
    <w:pPr>
      <w:tabs>
        <w:tab w:val="center" w:pos="4153"/>
        <w:tab w:val="right" w:pos="8306"/>
      </w:tabs>
      <w:snapToGrid w:val="0"/>
      <w:jc w:val="left"/>
    </w:pPr>
    <w:rPr>
      <w:sz w:val="18"/>
    </w:rPr>
  </w:style>
  <w:style w:type="paragraph" w:styleId="7">
    <w:name w:val="Normal (Web)"/>
    <w:basedOn w:val="1"/>
    <w:qFormat/>
    <w:uiPriority w:val="0"/>
    <w:rPr>
      <w:rFonts w:ascii="Times New Roman" w:hAnsi="Times New Roman" w:eastAsia="宋体" w:cs="Times New Roman"/>
      <w:sz w:val="24"/>
    </w:rPr>
  </w:style>
  <w:style w:type="paragraph" w:styleId="8">
    <w:name w:val="Body Text First Indent 2"/>
    <w:basedOn w:val="1"/>
    <w:qFormat/>
    <w:uiPriority w:val="0"/>
    <w:pPr>
      <w:ind w:firstLine="420" w:firstLineChars="200"/>
    </w:pPr>
    <w:rPr>
      <w:rFonts w:ascii="仿宋_GB2312" w:hAnsi="Times New Roman" w:eastAsia="仿宋_GB2312" w:cs="Times New Roman"/>
      <w:sz w:val="32"/>
      <w:szCs w:val="22"/>
    </w:rPr>
  </w:style>
  <w:style w:type="paragraph" w:customStyle="1" w:styleId="11">
    <w:name w:val="p0"/>
    <w:basedOn w:val="1"/>
    <w:qFormat/>
    <w:uiPriority w:val="0"/>
    <w:pPr>
      <w:widowControl/>
    </w:pPr>
    <w:rPr>
      <w:rFonts w:ascii="Calibri" w:hAnsi="Calibri" w:eastAsia="宋体" w:cs="宋体"/>
      <w:kern w:val="0"/>
      <w:szCs w:val="21"/>
    </w:rPr>
  </w:style>
  <w:style w:type="paragraph" w:styleId="12">
    <w:name w:val="List Paragraph"/>
    <w:basedOn w:val="1"/>
    <w:qFormat/>
    <w:uiPriority w:val="1"/>
    <w:pPr>
      <w:ind w:left="27" w:right="196" w:firstLine="640"/>
    </w:pPr>
    <w:rPr>
      <w:rFonts w:ascii="宋体" w:hAnsi="宋体" w:eastAsia="宋体" w:cs="宋体"/>
      <w:lang w:val="en-US" w:eastAsia="zh-CN" w:bidi="ar-SA"/>
    </w:rPr>
  </w:style>
  <w:style w:type="paragraph" w:customStyle="1" w:styleId="13">
    <w:name w:val="BodyText1I2"/>
    <w:basedOn w:val="1"/>
    <w:qFormat/>
    <w:uiPriority w:val="0"/>
    <w:pPr>
      <w:ind w:firstLine="420" w:firstLineChars="200"/>
      <w:jc w:val="both"/>
      <w:textAlignment w:val="baseline"/>
    </w:pPr>
    <w:rPr>
      <w:rFonts w:ascii="仿宋_GB2312" w:hAnsi="Times New Roman" w:eastAsia="仿宋_GB2312"/>
      <w:kern w:val="2"/>
      <w:sz w:val="32"/>
      <w:szCs w:val="22"/>
      <w:lang w:val="en-US" w:eastAsia="zh-CN" w:bidi="ar-SA"/>
    </w:rPr>
  </w:style>
  <w:style w:type="character" w:customStyle="1" w:styleId="14">
    <w:name w:val="NormalCharacter"/>
    <w:link w:val="15"/>
    <w:semiHidden/>
    <w:qFormat/>
    <w:uiPriority w:val="0"/>
    <w:rPr>
      <w:rFonts w:ascii="Calibri" w:hAnsi="Calibri" w:eastAsia="宋体" w:cs="Times New Roman"/>
      <w:color w:val="000000"/>
      <w:sz w:val="24"/>
      <w:szCs w:val="22"/>
      <w:lang w:val="en-US" w:eastAsia="zh-CN" w:bidi="ar-SA"/>
    </w:rPr>
  </w:style>
  <w:style w:type="paragraph" w:customStyle="1" w:styleId="15">
    <w:name w:val="UserStyle_5"/>
    <w:link w:val="14"/>
    <w:qFormat/>
    <w:uiPriority w:val="0"/>
    <w:pPr>
      <w:widowControl/>
      <w:textAlignment w:val="baseline"/>
    </w:pPr>
    <w:rPr>
      <w:rFonts w:ascii="Calibri" w:hAnsi="Calibri" w:eastAsia="宋体" w:cs="Times New Roman"/>
      <w:color w:val="000000"/>
      <w:sz w:val="24"/>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2184</Words>
  <Characters>2507</Characters>
  <Lines>0</Lines>
  <Paragraphs>0</Paragraphs>
  <TotalTime>27</TotalTime>
  <ScaleCrop>false</ScaleCrop>
  <LinksUpToDate>false</LinksUpToDate>
  <CharactersWithSpaces>2628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2025-03-13T06:05:00Z</dcterms:created>
  <dc:creator>Administrator</dc:creator>
  <cp:lastModifiedBy>心</cp:lastModifiedBy>
  <cp:lastPrinted>2026-07-01T06:29:00Z</cp:lastPrinted>
  <dcterms:modified xsi:type="dcterms:W3CDTF">2026-07-02T09:16:09Z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AE790A61125C43FA8C2E5201B795D852_13</vt:lpwstr>
  </property>
  <property fmtid="{D5CDD505-2E9C-101B-9397-08002B2CF9AE}" pid="4" name="KSOTemplateDocerSaveRecord">
    <vt:lpwstr>eyJoZGlkIjoiOGQxNDNjNjAxYWM4OWZlMmRmNmI2NzlmYmVlZDFhNzQiLCJ1c2VySWQiOiIxMTI2NTYzNTAyIn0=</vt:lpwstr>
  </property>
</Properties>
</file>