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53D6D">
      <w:pPr>
        <w:jc w:val="center"/>
        <w:rPr>
          <w:rFonts w:hint="eastAsia" w:eastAsia="黑体"/>
          <w:sz w:val="36"/>
          <w:szCs w:val="36"/>
        </w:rPr>
      </w:pPr>
      <w:r>
        <w:rPr>
          <w:rFonts w:hint="eastAsia" w:eastAsia="黑体"/>
          <w:sz w:val="36"/>
          <w:szCs w:val="36"/>
        </w:rPr>
        <w:t>福清市自然资源和规划局</w:t>
      </w:r>
    </w:p>
    <w:p w14:paraId="579DF489">
      <w:pPr>
        <w:jc w:val="center"/>
        <w:rPr>
          <w:rFonts w:hint="eastAsia" w:eastAsia="黑体"/>
          <w:sz w:val="36"/>
          <w:szCs w:val="36"/>
        </w:rPr>
      </w:pPr>
      <w:r>
        <w:rPr>
          <w:rFonts w:hint="eastAsia" w:eastAsia="黑体"/>
          <w:sz w:val="36"/>
          <w:szCs w:val="36"/>
        </w:rPr>
        <w:t>关于20</w:t>
      </w:r>
      <w:r>
        <w:rPr>
          <w:rFonts w:hint="eastAsia" w:eastAsia="黑体"/>
          <w:sz w:val="36"/>
          <w:szCs w:val="36"/>
          <w:lang w:val="en-US" w:eastAsia="zh-CN"/>
        </w:rPr>
        <w:t>26</w:t>
      </w:r>
      <w:r>
        <w:rPr>
          <w:rFonts w:hint="eastAsia" w:eastAsia="黑体"/>
          <w:sz w:val="36"/>
          <w:szCs w:val="36"/>
        </w:rPr>
        <w:t>年度第</w:t>
      </w:r>
      <w:r>
        <w:rPr>
          <w:rFonts w:hint="eastAsia" w:eastAsia="黑体"/>
          <w:sz w:val="36"/>
          <w:szCs w:val="36"/>
          <w:lang w:val="en-US" w:eastAsia="zh-CN"/>
        </w:rPr>
        <w:t>十二</w:t>
      </w:r>
      <w:r>
        <w:rPr>
          <w:rFonts w:hint="eastAsia" w:eastAsia="黑体"/>
          <w:sz w:val="36"/>
          <w:szCs w:val="36"/>
        </w:rPr>
        <w:t>次公开拍卖出让国有建设用地使用权公告</w:t>
      </w:r>
    </w:p>
    <w:p w14:paraId="1897DA8D">
      <w:pPr>
        <w:ind w:right="480"/>
        <w:rPr>
          <w:rFonts w:eastAsia="黑体"/>
          <w:sz w:val="24"/>
        </w:rPr>
      </w:pPr>
      <w:r>
        <w:rPr>
          <w:rFonts w:hint="eastAsia" w:eastAsia="黑体"/>
          <w:sz w:val="24"/>
        </w:rPr>
        <w:t>　                                                                                融土拍告字[202</w:t>
      </w:r>
      <w:r>
        <w:rPr>
          <w:rFonts w:hint="eastAsia" w:eastAsia="黑体"/>
          <w:sz w:val="24"/>
          <w:lang w:val="en-US" w:eastAsia="zh-CN"/>
        </w:rPr>
        <w:t>6</w:t>
      </w:r>
      <w:r>
        <w:rPr>
          <w:rFonts w:hint="eastAsia" w:eastAsia="黑体"/>
          <w:sz w:val="24"/>
        </w:rPr>
        <w:t>]</w:t>
      </w:r>
      <w:r>
        <w:rPr>
          <w:rFonts w:hint="eastAsia" w:eastAsia="黑体"/>
          <w:sz w:val="24"/>
          <w:lang w:val="en-US" w:eastAsia="zh-CN"/>
        </w:rPr>
        <w:t>12</w:t>
      </w:r>
      <w:r>
        <w:rPr>
          <w:rFonts w:hint="eastAsia" w:eastAsia="黑体"/>
          <w:sz w:val="24"/>
        </w:rPr>
        <w:t>号</w:t>
      </w:r>
    </w:p>
    <w:p w14:paraId="09440822">
      <w:pPr>
        <w:keepNext w:val="0"/>
        <w:keepLines w:val="0"/>
        <w:pageBreakBefore w:val="0"/>
        <w:widowControl w:val="0"/>
        <w:kinsoku/>
        <w:wordWrap/>
        <w:overflowPunct/>
        <w:topLinePunct w:val="0"/>
        <w:autoSpaceDE/>
        <w:autoSpaceDN/>
        <w:bidi w:val="0"/>
        <w:adjustRightInd/>
        <w:snapToGrid/>
        <w:spacing w:line="400" w:lineRule="exact"/>
        <w:ind w:right="480" w:firstLine="560" w:firstLineChars="200"/>
        <w:textAlignment w:val="auto"/>
        <w:rPr>
          <w:rFonts w:hint="eastAsia"/>
        </w:rPr>
      </w:pPr>
      <w:r>
        <w:rPr>
          <w:rFonts w:hint="eastAsia" w:ascii="仿宋" w:hAnsi="仿宋" w:eastAsia="仿宋" w:cs="仿宋"/>
          <w:sz w:val="28"/>
          <w:szCs w:val="28"/>
        </w:rPr>
        <w:t>经福清市人民政府批准，福清市自然资源和规划</w:t>
      </w:r>
      <w:r>
        <w:rPr>
          <w:rFonts w:hint="eastAsia" w:ascii="仿宋" w:hAnsi="仿宋" w:eastAsia="仿宋" w:cs="仿宋"/>
          <w:color w:val="000000"/>
          <w:sz w:val="28"/>
          <w:szCs w:val="28"/>
        </w:rPr>
        <w:t>局决定公开出让</w:t>
      </w:r>
      <w:r>
        <w:rPr>
          <w:rFonts w:hint="eastAsia" w:ascii="仿宋" w:hAnsi="仿宋" w:eastAsia="仿宋" w:cs="仿宋"/>
          <w:color w:val="000000"/>
          <w:sz w:val="28"/>
          <w:szCs w:val="28"/>
          <w:lang w:val="en-US" w:eastAsia="zh-CN"/>
        </w:rPr>
        <w:t>一</w:t>
      </w:r>
      <w:r>
        <w:rPr>
          <w:rFonts w:hint="eastAsia" w:ascii="仿宋" w:hAnsi="仿宋" w:eastAsia="仿宋" w:cs="仿宋"/>
          <w:color w:val="000000"/>
          <w:sz w:val="28"/>
          <w:szCs w:val="28"/>
        </w:rPr>
        <w:t>幅地块</w:t>
      </w:r>
      <w:r>
        <w:rPr>
          <w:rFonts w:hint="eastAsia" w:ascii="仿宋" w:hAnsi="仿宋" w:eastAsia="仿宋" w:cs="仿宋"/>
          <w:sz w:val="28"/>
          <w:szCs w:val="28"/>
        </w:rPr>
        <w:t>的国有建设用地使用权。现将有关事项公告如下：</w:t>
      </w:r>
    </w:p>
    <w:p w14:paraId="5359E000">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拍卖地块的基本情况和规划指标要求</w:t>
      </w:r>
    </w:p>
    <w:tbl>
      <w:tblPr>
        <w:tblStyle w:val="6"/>
        <w:tblpPr w:leftFromText="180" w:rightFromText="180" w:vertAnchor="text" w:horzAnchor="page" w:tblpX="980" w:tblpY="164"/>
        <w:tblOverlap w:val="never"/>
        <w:tblW w:w="14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6"/>
        <w:gridCol w:w="800"/>
        <w:gridCol w:w="956"/>
        <w:gridCol w:w="2150"/>
        <w:gridCol w:w="1117"/>
        <w:gridCol w:w="1252"/>
        <w:gridCol w:w="1115"/>
        <w:gridCol w:w="1183"/>
        <w:gridCol w:w="1385"/>
        <w:gridCol w:w="1132"/>
        <w:gridCol w:w="1968"/>
      </w:tblGrid>
      <w:tr w14:paraId="09FD3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16" w:type="dxa"/>
            <w:vMerge w:val="restart"/>
            <w:noWrap w:val="0"/>
            <w:vAlign w:val="center"/>
          </w:tcPr>
          <w:p w14:paraId="5F8DFA0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宗地编号</w:t>
            </w:r>
          </w:p>
        </w:tc>
        <w:tc>
          <w:tcPr>
            <w:tcW w:w="800" w:type="dxa"/>
            <w:vMerge w:val="restart"/>
            <w:noWrap w:val="0"/>
            <w:vAlign w:val="center"/>
          </w:tcPr>
          <w:p w14:paraId="5D46ACFD">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w:t>
            </w:r>
          </w:p>
          <w:p w14:paraId="08B48972">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位置</w:t>
            </w:r>
          </w:p>
        </w:tc>
        <w:tc>
          <w:tcPr>
            <w:tcW w:w="956" w:type="dxa"/>
            <w:vMerge w:val="restart"/>
            <w:noWrap w:val="0"/>
            <w:vAlign w:val="center"/>
          </w:tcPr>
          <w:p w14:paraId="7F59A414">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w:t>
            </w:r>
          </w:p>
          <w:p w14:paraId="1DA6D322">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面积</w:t>
            </w:r>
          </w:p>
          <w:p w14:paraId="27BE7D13">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w:t>
            </w:r>
          </w:p>
        </w:tc>
        <w:tc>
          <w:tcPr>
            <w:tcW w:w="2150" w:type="dxa"/>
            <w:vMerge w:val="restart"/>
            <w:noWrap w:val="0"/>
            <w:vAlign w:val="center"/>
          </w:tcPr>
          <w:p w14:paraId="383DE365">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土地用途</w:t>
            </w:r>
          </w:p>
        </w:tc>
        <w:tc>
          <w:tcPr>
            <w:tcW w:w="4667" w:type="dxa"/>
            <w:gridSpan w:val="4"/>
            <w:noWrap w:val="0"/>
            <w:vAlign w:val="center"/>
          </w:tcPr>
          <w:p w14:paraId="2E436E47">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规划设计主要指标</w:t>
            </w:r>
          </w:p>
        </w:tc>
        <w:tc>
          <w:tcPr>
            <w:tcW w:w="1385" w:type="dxa"/>
            <w:vMerge w:val="restart"/>
            <w:noWrap w:val="0"/>
            <w:vAlign w:val="center"/>
          </w:tcPr>
          <w:p w14:paraId="0EA19999">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土地使用</w:t>
            </w:r>
          </w:p>
          <w:p w14:paraId="0F32EDD1">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年限（年）</w:t>
            </w:r>
          </w:p>
        </w:tc>
        <w:tc>
          <w:tcPr>
            <w:tcW w:w="1132" w:type="dxa"/>
            <w:vMerge w:val="restart"/>
            <w:noWrap w:val="0"/>
            <w:vAlign w:val="center"/>
          </w:tcPr>
          <w:p w14:paraId="2F027B7B">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竞买</w:t>
            </w:r>
          </w:p>
          <w:p w14:paraId="1C766E47">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保证金</w:t>
            </w:r>
          </w:p>
          <w:p w14:paraId="72ABFDDD">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（万元）</w:t>
            </w:r>
          </w:p>
        </w:tc>
        <w:tc>
          <w:tcPr>
            <w:tcW w:w="1968" w:type="dxa"/>
            <w:vMerge w:val="restart"/>
            <w:noWrap w:val="0"/>
            <w:vAlign w:val="center"/>
          </w:tcPr>
          <w:p w14:paraId="69873889">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开竣工时间</w:t>
            </w:r>
          </w:p>
        </w:tc>
      </w:tr>
      <w:tr w14:paraId="08E9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616" w:type="dxa"/>
            <w:vMerge w:val="continue"/>
            <w:noWrap w:val="0"/>
            <w:vAlign w:val="center"/>
          </w:tcPr>
          <w:p w14:paraId="67D9F6AC">
            <w:pPr>
              <w:spacing w:line="500" w:lineRule="exact"/>
              <w:jc w:val="center"/>
              <w:rPr>
                <w:rFonts w:hint="eastAsia" w:ascii="仿宋" w:hAnsi="仿宋" w:eastAsia="仿宋" w:cs="仿宋"/>
                <w:color w:val="000000"/>
                <w:sz w:val="24"/>
              </w:rPr>
            </w:pPr>
          </w:p>
        </w:tc>
        <w:tc>
          <w:tcPr>
            <w:tcW w:w="800" w:type="dxa"/>
            <w:vMerge w:val="continue"/>
            <w:noWrap w:val="0"/>
            <w:vAlign w:val="center"/>
          </w:tcPr>
          <w:p w14:paraId="61B0EB79">
            <w:pPr>
              <w:spacing w:line="500" w:lineRule="exact"/>
              <w:jc w:val="center"/>
              <w:rPr>
                <w:rFonts w:hint="eastAsia" w:ascii="仿宋" w:hAnsi="仿宋" w:eastAsia="仿宋" w:cs="仿宋"/>
                <w:color w:val="000000"/>
                <w:sz w:val="24"/>
              </w:rPr>
            </w:pPr>
          </w:p>
        </w:tc>
        <w:tc>
          <w:tcPr>
            <w:tcW w:w="956" w:type="dxa"/>
            <w:vMerge w:val="continue"/>
            <w:noWrap w:val="0"/>
            <w:vAlign w:val="center"/>
          </w:tcPr>
          <w:p w14:paraId="3CA32712">
            <w:pPr>
              <w:spacing w:line="500" w:lineRule="exact"/>
              <w:jc w:val="center"/>
              <w:rPr>
                <w:rFonts w:hint="eastAsia" w:ascii="仿宋" w:hAnsi="仿宋" w:eastAsia="仿宋" w:cs="仿宋"/>
                <w:color w:val="000000"/>
                <w:sz w:val="24"/>
              </w:rPr>
            </w:pPr>
          </w:p>
        </w:tc>
        <w:tc>
          <w:tcPr>
            <w:tcW w:w="2150" w:type="dxa"/>
            <w:vMerge w:val="continue"/>
            <w:noWrap w:val="0"/>
            <w:vAlign w:val="center"/>
          </w:tcPr>
          <w:p w14:paraId="3A7BDD38">
            <w:pPr>
              <w:spacing w:line="500" w:lineRule="exact"/>
              <w:jc w:val="center"/>
              <w:rPr>
                <w:rFonts w:hint="eastAsia" w:ascii="仿宋" w:hAnsi="仿宋" w:eastAsia="仿宋" w:cs="仿宋"/>
                <w:color w:val="000000"/>
                <w:sz w:val="24"/>
              </w:rPr>
            </w:pPr>
          </w:p>
        </w:tc>
        <w:tc>
          <w:tcPr>
            <w:tcW w:w="1117" w:type="dxa"/>
            <w:noWrap w:val="0"/>
            <w:vAlign w:val="center"/>
          </w:tcPr>
          <w:p w14:paraId="187E8013">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容积率</w:t>
            </w:r>
          </w:p>
        </w:tc>
        <w:tc>
          <w:tcPr>
            <w:tcW w:w="1252" w:type="dxa"/>
            <w:noWrap w:val="0"/>
            <w:vAlign w:val="center"/>
          </w:tcPr>
          <w:p w14:paraId="1A0F7BF6">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建筑密度</w:t>
            </w:r>
          </w:p>
        </w:tc>
        <w:tc>
          <w:tcPr>
            <w:tcW w:w="1115" w:type="dxa"/>
            <w:noWrap w:val="0"/>
            <w:vAlign w:val="center"/>
          </w:tcPr>
          <w:p w14:paraId="008055D0">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绿地率</w:t>
            </w:r>
          </w:p>
        </w:tc>
        <w:tc>
          <w:tcPr>
            <w:tcW w:w="1183" w:type="dxa"/>
            <w:noWrap w:val="0"/>
            <w:vAlign w:val="center"/>
          </w:tcPr>
          <w:p w14:paraId="67565DB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建筑限高</w:t>
            </w:r>
          </w:p>
        </w:tc>
        <w:tc>
          <w:tcPr>
            <w:tcW w:w="1385" w:type="dxa"/>
            <w:vMerge w:val="continue"/>
            <w:noWrap w:val="0"/>
            <w:vAlign w:val="center"/>
          </w:tcPr>
          <w:p w14:paraId="4BCC0A67">
            <w:pPr>
              <w:spacing w:line="500" w:lineRule="exact"/>
              <w:jc w:val="center"/>
              <w:rPr>
                <w:rFonts w:hint="eastAsia" w:ascii="仿宋" w:hAnsi="仿宋" w:eastAsia="仿宋" w:cs="仿宋"/>
                <w:color w:val="000000"/>
                <w:sz w:val="24"/>
              </w:rPr>
            </w:pPr>
          </w:p>
        </w:tc>
        <w:tc>
          <w:tcPr>
            <w:tcW w:w="1132" w:type="dxa"/>
            <w:vMerge w:val="continue"/>
            <w:noWrap w:val="0"/>
            <w:vAlign w:val="center"/>
          </w:tcPr>
          <w:p w14:paraId="6A57600E">
            <w:pPr>
              <w:spacing w:line="500" w:lineRule="exact"/>
              <w:jc w:val="center"/>
              <w:rPr>
                <w:rFonts w:hint="eastAsia" w:ascii="仿宋" w:hAnsi="仿宋" w:eastAsia="仿宋" w:cs="仿宋"/>
                <w:color w:val="000000"/>
                <w:sz w:val="24"/>
              </w:rPr>
            </w:pPr>
          </w:p>
        </w:tc>
        <w:tc>
          <w:tcPr>
            <w:tcW w:w="1968" w:type="dxa"/>
            <w:vMerge w:val="continue"/>
            <w:noWrap w:val="0"/>
            <w:vAlign w:val="center"/>
          </w:tcPr>
          <w:p w14:paraId="22F3A8D1">
            <w:pPr>
              <w:spacing w:line="500" w:lineRule="exact"/>
              <w:jc w:val="center"/>
              <w:rPr>
                <w:rFonts w:hint="eastAsia" w:ascii="仿宋" w:hAnsi="仿宋" w:eastAsia="仿宋" w:cs="仿宋"/>
                <w:color w:val="000000"/>
                <w:sz w:val="24"/>
              </w:rPr>
            </w:pPr>
          </w:p>
        </w:tc>
      </w:tr>
      <w:tr w14:paraId="4908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1616" w:type="dxa"/>
            <w:noWrap w:val="0"/>
            <w:vAlign w:val="center"/>
          </w:tcPr>
          <w:p w14:paraId="49D76736">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2026拍-20号</w:t>
            </w:r>
          </w:p>
        </w:tc>
        <w:tc>
          <w:tcPr>
            <w:tcW w:w="800" w:type="dxa"/>
            <w:noWrap w:val="0"/>
            <w:vAlign w:val="center"/>
          </w:tcPr>
          <w:p w14:paraId="3EB5F01B">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宏路街道</w:t>
            </w:r>
          </w:p>
        </w:tc>
        <w:tc>
          <w:tcPr>
            <w:tcW w:w="956" w:type="dxa"/>
            <w:noWrap w:val="0"/>
            <w:vAlign w:val="center"/>
          </w:tcPr>
          <w:p w14:paraId="321305D1">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45459</w:t>
            </w:r>
          </w:p>
        </w:tc>
        <w:tc>
          <w:tcPr>
            <w:tcW w:w="2150" w:type="dxa"/>
            <w:noWrap w:val="0"/>
            <w:vAlign w:val="center"/>
          </w:tcPr>
          <w:p w14:paraId="73B545A6">
            <w:pPr>
              <w:spacing w:line="500" w:lineRule="exact"/>
              <w:jc w:val="center"/>
              <w:rPr>
                <w:rFonts w:hint="eastAsia" w:ascii="仿宋" w:hAnsi="仿宋" w:eastAsia="仿宋" w:cs="仿宋"/>
                <w:color w:val="000000"/>
                <w:sz w:val="24"/>
                <w:rtl w:val="0"/>
                <w:lang w:val="en-US" w:eastAsia="zh-CN"/>
              </w:rPr>
            </w:pPr>
            <w:r>
              <w:rPr>
                <w:rFonts w:hint="eastAsia" w:ascii="仿宋" w:hAnsi="仿宋" w:eastAsia="仿宋" w:cs="仿宋"/>
                <w:color w:val="000000"/>
                <w:sz w:val="24"/>
                <w:rtl w:val="0"/>
                <w:lang w:val="en-US" w:eastAsia="zh-CN"/>
              </w:rPr>
              <w:t>居住用地—城镇住宅用地、商业服务业用地—（零售商业用地）</w:t>
            </w:r>
          </w:p>
        </w:tc>
        <w:tc>
          <w:tcPr>
            <w:tcW w:w="1117" w:type="dxa"/>
            <w:noWrap w:val="0"/>
            <w:vAlign w:val="center"/>
          </w:tcPr>
          <w:p w14:paraId="4AAA7913">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2.0-2.5</w:t>
            </w:r>
          </w:p>
        </w:tc>
        <w:tc>
          <w:tcPr>
            <w:tcW w:w="1252" w:type="dxa"/>
            <w:noWrap w:val="0"/>
            <w:vAlign w:val="center"/>
          </w:tcPr>
          <w:p w14:paraId="7BE7A7E5">
            <w:pPr>
              <w:spacing w:line="500" w:lineRule="exact"/>
              <w:jc w:val="center"/>
              <w:rPr>
                <w:rFonts w:hint="eastAsia" w:ascii="仿宋" w:hAnsi="仿宋" w:eastAsia="仿宋" w:cs="仿宋"/>
                <w:color w:val="000000"/>
                <w:kern w:val="2"/>
                <w:sz w:val="24"/>
                <w:szCs w:val="24"/>
                <w:rtl w:val="0"/>
                <w:lang w:val="en-US" w:eastAsia="zh-CN" w:bidi="ar-SA"/>
              </w:rPr>
            </w:pPr>
            <w:r>
              <w:rPr>
                <w:rFonts w:hint="eastAsia" w:ascii="仿宋" w:hAnsi="仿宋" w:eastAsia="仿宋" w:cs="仿宋"/>
                <w:color w:val="000000"/>
                <w:kern w:val="2"/>
                <w:sz w:val="24"/>
                <w:szCs w:val="24"/>
                <w:rtl w:val="0"/>
                <w:lang w:val="en-US" w:eastAsia="zh-CN" w:bidi="ar-SA"/>
              </w:rPr>
              <w:t>21%-35%</w:t>
            </w:r>
          </w:p>
        </w:tc>
        <w:tc>
          <w:tcPr>
            <w:tcW w:w="1115" w:type="dxa"/>
            <w:noWrap w:val="0"/>
            <w:vAlign w:val="center"/>
          </w:tcPr>
          <w:p w14:paraId="1E171B65">
            <w:pPr>
              <w:spacing w:line="50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lang w:val="en-US" w:eastAsia="zh-CN"/>
              </w:rPr>
              <w:t>≥30</w:t>
            </w:r>
            <w:r>
              <w:rPr>
                <w:rFonts w:hint="eastAsia" w:ascii="仿宋" w:hAnsi="仿宋" w:eastAsia="仿宋" w:cs="仿宋"/>
                <w:color w:val="000000"/>
                <w:sz w:val="24"/>
              </w:rPr>
              <w:t>%</w:t>
            </w:r>
          </w:p>
        </w:tc>
        <w:tc>
          <w:tcPr>
            <w:tcW w:w="1183" w:type="dxa"/>
            <w:noWrap w:val="0"/>
            <w:vAlign w:val="center"/>
          </w:tcPr>
          <w:p w14:paraId="5F88172A">
            <w:pPr>
              <w:spacing w:line="50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lang w:val="en-US" w:eastAsia="zh-CN"/>
              </w:rPr>
              <w:t>100米</w:t>
            </w:r>
          </w:p>
        </w:tc>
        <w:tc>
          <w:tcPr>
            <w:tcW w:w="1385" w:type="dxa"/>
            <w:noWrap w:val="0"/>
            <w:vAlign w:val="center"/>
          </w:tcPr>
          <w:p w14:paraId="6A24C43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tl w:val="0"/>
                <w:lang w:val="en-US" w:eastAsia="zh-CN"/>
              </w:rPr>
              <w:t>住宅用地70年、商服用地40年</w:t>
            </w:r>
          </w:p>
        </w:tc>
        <w:tc>
          <w:tcPr>
            <w:tcW w:w="1132" w:type="dxa"/>
            <w:noWrap w:val="0"/>
            <w:vAlign w:val="center"/>
          </w:tcPr>
          <w:p w14:paraId="3CC1A332">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6820</w:t>
            </w:r>
          </w:p>
        </w:tc>
        <w:tc>
          <w:tcPr>
            <w:tcW w:w="1968" w:type="dxa"/>
            <w:noWrap w:val="0"/>
            <w:vAlign w:val="center"/>
          </w:tcPr>
          <w:p w14:paraId="24E9FBCE">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土地交付之日起</w:t>
            </w:r>
            <w:r>
              <w:rPr>
                <w:rFonts w:hint="eastAsia" w:ascii="仿宋" w:hAnsi="仿宋" w:eastAsia="仿宋" w:cs="仿宋"/>
                <w:color w:val="000000"/>
                <w:sz w:val="24"/>
                <w:lang w:val="en-US" w:eastAsia="zh-CN"/>
              </w:rPr>
              <w:t>12</w:t>
            </w:r>
            <w:r>
              <w:rPr>
                <w:rFonts w:hint="eastAsia" w:ascii="仿宋" w:hAnsi="仿宋" w:eastAsia="仿宋" w:cs="仿宋"/>
                <w:color w:val="000000"/>
                <w:sz w:val="24"/>
              </w:rPr>
              <w:t>个月内动工、自开工之日起</w:t>
            </w:r>
            <w:r>
              <w:rPr>
                <w:rFonts w:hint="eastAsia" w:ascii="仿宋" w:hAnsi="仿宋" w:eastAsia="仿宋" w:cs="仿宋"/>
                <w:color w:val="000000"/>
                <w:sz w:val="24"/>
                <w:lang w:val="en-US" w:eastAsia="zh-CN"/>
              </w:rPr>
              <w:t>36</w:t>
            </w:r>
            <w:r>
              <w:rPr>
                <w:rFonts w:hint="eastAsia" w:ascii="仿宋" w:hAnsi="仿宋" w:eastAsia="仿宋" w:cs="仿宋"/>
                <w:color w:val="000000"/>
                <w:sz w:val="24"/>
              </w:rPr>
              <w:t>个月内竣工</w:t>
            </w:r>
          </w:p>
        </w:tc>
      </w:tr>
    </w:tbl>
    <w:p w14:paraId="65852F3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color w:val="000000"/>
          <w:sz w:val="28"/>
          <w:szCs w:val="28"/>
        </w:rPr>
      </w:pPr>
      <w:r>
        <w:rPr>
          <w:rFonts w:hint="eastAsia" w:ascii="仿宋" w:hAnsi="仿宋" w:eastAsia="仿宋" w:cs="仿宋"/>
          <w:b/>
          <w:bCs/>
          <w:sz w:val="28"/>
          <w:szCs w:val="28"/>
        </w:rPr>
        <w:t>二、竞买人范围</w:t>
      </w:r>
      <w:r>
        <w:rPr>
          <w:rFonts w:hint="eastAsia" w:ascii="仿宋" w:hAnsi="仿宋" w:eastAsia="仿宋" w:cs="仿宋"/>
          <w:b/>
          <w:bCs/>
          <w:sz w:val="28"/>
          <w:szCs w:val="28"/>
          <w:lang w:eastAsia="zh-CN"/>
        </w:rPr>
        <w:t>：</w:t>
      </w:r>
      <w:r>
        <w:rPr>
          <w:rFonts w:hint="eastAsia" w:ascii="仿宋" w:hAnsi="仿宋" w:eastAsia="仿宋" w:cs="仿宋"/>
          <w:color w:val="000000"/>
          <w:sz w:val="28"/>
          <w:szCs w:val="28"/>
        </w:rPr>
        <w:t>中华人民共和国境内外的法人和其他组织均可申请参加竞买（申请人可以单独申请，也可以联合申请），但用地者有不良记录的除外。</w:t>
      </w:r>
    </w:p>
    <w:p w14:paraId="38E52BBA">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color w:val="000000"/>
          <w:sz w:val="28"/>
          <w:szCs w:val="28"/>
        </w:rPr>
      </w:pPr>
      <w:r>
        <w:rPr>
          <w:rFonts w:hint="eastAsia" w:ascii="仿宋" w:hAnsi="仿宋" w:eastAsia="仿宋" w:cs="仿宋"/>
          <w:b/>
          <w:bCs/>
          <w:color w:val="000000"/>
          <w:sz w:val="28"/>
          <w:szCs w:val="28"/>
        </w:rPr>
        <w:t>三、拍卖交易时间及地点：</w:t>
      </w:r>
      <w:r>
        <w:rPr>
          <w:rFonts w:hint="eastAsia" w:ascii="仿宋" w:hAnsi="仿宋" w:eastAsia="仿宋" w:cs="仿宋"/>
          <w:color w:val="000000"/>
          <w:sz w:val="28"/>
          <w:szCs w:val="28"/>
        </w:rPr>
        <w:t>本次拍卖会定于20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日（星期</w:t>
      </w:r>
      <w:r>
        <w:rPr>
          <w:rFonts w:hint="eastAsia" w:ascii="仿宋" w:hAnsi="仿宋" w:eastAsia="仿宋" w:cs="仿宋"/>
          <w:color w:val="000000"/>
          <w:sz w:val="28"/>
          <w:szCs w:val="28"/>
          <w:lang w:val="en-US" w:eastAsia="zh-CN"/>
        </w:rPr>
        <w:t>三</w:t>
      </w:r>
      <w:r>
        <w:rPr>
          <w:rFonts w:hint="eastAsia" w:ascii="仿宋" w:hAnsi="仿宋" w:eastAsia="仿宋" w:cs="仿宋"/>
          <w:color w:val="000000"/>
          <w:sz w:val="28"/>
          <w:szCs w:val="28"/>
        </w:rPr>
        <w:t>）上午9:00，在福清市行政服务中心3楼交易大厅。</w:t>
      </w:r>
    </w:p>
    <w:p w14:paraId="4277B2B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四、拍卖起价</w:t>
      </w:r>
    </w:p>
    <w:p w14:paraId="38F41BB1">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20</w:t>
      </w:r>
      <w:r>
        <w:rPr>
          <w:rFonts w:hint="eastAsia" w:ascii="仿宋" w:hAnsi="仿宋" w:eastAsia="仿宋" w:cs="仿宋"/>
          <w:color w:val="000000"/>
          <w:sz w:val="28"/>
          <w:szCs w:val="28"/>
        </w:rPr>
        <w:t>号拍卖起价为人民币</w:t>
      </w:r>
      <w:r>
        <w:rPr>
          <w:rFonts w:hint="eastAsia" w:ascii="仿宋" w:hAnsi="仿宋" w:eastAsia="仿宋" w:cs="仿宋"/>
          <w:color w:val="000000"/>
          <w:sz w:val="28"/>
          <w:szCs w:val="28"/>
          <w:lang w:val="en-US" w:eastAsia="zh-CN"/>
        </w:rPr>
        <w:t>34100</w:t>
      </w:r>
      <w:r>
        <w:rPr>
          <w:rFonts w:hint="eastAsia" w:ascii="仿宋" w:hAnsi="仿宋" w:eastAsia="仿宋" w:cs="仿宋"/>
          <w:color w:val="000000"/>
          <w:sz w:val="28"/>
          <w:szCs w:val="28"/>
        </w:rPr>
        <w:t>万元，加价幅度不低于</w:t>
      </w:r>
      <w:r>
        <w:rPr>
          <w:rFonts w:hint="eastAsia" w:ascii="仿宋" w:hAnsi="仿宋" w:eastAsia="仿宋" w:cs="仿宋"/>
          <w:color w:val="000000"/>
          <w:sz w:val="28"/>
          <w:szCs w:val="28"/>
          <w:lang w:val="en-US" w:eastAsia="zh-CN"/>
        </w:rPr>
        <w:t>200</w:t>
      </w:r>
      <w:r>
        <w:rPr>
          <w:rFonts w:hint="eastAsia" w:ascii="仿宋" w:hAnsi="仿宋" w:eastAsia="仿宋" w:cs="仿宋"/>
          <w:color w:val="000000"/>
          <w:sz w:val="28"/>
          <w:szCs w:val="28"/>
        </w:rPr>
        <w:t>万元</w:t>
      </w:r>
      <w:r>
        <w:rPr>
          <w:rFonts w:hint="eastAsia" w:ascii="仿宋" w:hAnsi="仿宋" w:eastAsia="仿宋" w:cs="仿宋"/>
          <w:color w:val="000000"/>
          <w:sz w:val="28"/>
          <w:szCs w:val="28"/>
          <w:lang w:eastAsia="zh-CN"/>
        </w:rPr>
        <w:t>。</w:t>
      </w:r>
    </w:p>
    <w:p w14:paraId="643176C9">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上述宗地设有底价（即保留价），总价款不包含契税</w:t>
      </w:r>
      <w:r>
        <w:rPr>
          <w:rFonts w:hint="eastAsia" w:ascii="仿宋" w:hAnsi="仿宋" w:eastAsia="仿宋" w:cs="仿宋"/>
          <w:color w:val="000000"/>
          <w:sz w:val="28"/>
          <w:szCs w:val="28"/>
          <w:lang w:val="en-US" w:eastAsia="zh-CN"/>
        </w:rPr>
        <w:t>和</w:t>
      </w:r>
      <w:r>
        <w:rPr>
          <w:rFonts w:hint="eastAsia" w:ascii="仿宋" w:hAnsi="仿宋" w:eastAsia="仿宋" w:cs="仿宋"/>
          <w:color w:val="000000"/>
          <w:sz w:val="28"/>
          <w:szCs w:val="28"/>
        </w:rPr>
        <w:t>城市基础设施配套费，以上税费由竞得人自行缴交。</w:t>
      </w:r>
    </w:p>
    <w:p w14:paraId="13521D0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五、竞买人索取拍卖材料方式及参加竞买申请方式</w:t>
      </w:r>
    </w:p>
    <w:p w14:paraId="2362B9F7">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1、索取拍卖材料方式：竞买人可在20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24</w:t>
      </w:r>
      <w:r>
        <w:rPr>
          <w:rFonts w:hint="eastAsia" w:ascii="仿宋" w:hAnsi="仿宋" w:eastAsia="仿宋" w:cs="仿宋"/>
          <w:color w:val="000000"/>
          <w:sz w:val="28"/>
          <w:szCs w:val="28"/>
        </w:rPr>
        <w:t>日至20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31</w:t>
      </w:r>
      <w:r>
        <w:rPr>
          <w:rFonts w:hint="eastAsia" w:ascii="仿宋" w:hAnsi="仿宋" w:eastAsia="仿宋" w:cs="仿宋"/>
          <w:color w:val="000000"/>
          <w:sz w:val="28"/>
          <w:szCs w:val="28"/>
        </w:rPr>
        <w:t>日（其间逢规定的假日除外）工作时间内，迳向福清市音西街道福人路6号市行政服务中心509办公室索取材料。</w:t>
      </w:r>
    </w:p>
    <w:p w14:paraId="32595395">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FF"/>
          <w:sz w:val="28"/>
          <w:szCs w:val="28"/>
        </w:rPr>
      </w:pPr>
      <w:r>
        <w:rPr>
          <w:rFonts w:hint="eastAsia" w:ascii="仿宋" w:hAnsi="仿宋" w:eastAsia="仿宋" w:cs="仿宋"/>
          <w:color w:val="000000"/>
          <w:sz w:val="28"/>
          <w:szCs w:val="28"/>
        </w:rPr>
        <w:t>2、参加竞买申请方式：竞买申请人应于20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24</w:t>
      </w:r>
      <w:r>
        <w:rPr>
          <w:rFonts w:hint="eastAsia" w:ascii="仿宋" w:hAnsi="仿宋" w:eastAsia="仿宋" w:cs="仿宋"/>
          <w:color w:val="000000"/>
          <w:sz w:val="28"/>
          <w:szCs w:val="28"/>
        </w:rPr>
        <w:t>日9:00至20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31</w:t>
      </w:r>
      <w:r>
        <w:rPr>
          <w:rFonts w:hint="eastAsia" w:ascii="仿宋" w:hAnsi="仿宋" w:eastAsia="仿宋" w:cs="仿宋"/>
          <w:color w:val="000000"/>
          <w:sz w:val="28"/>
          <w:szCs w:val="28"/>
        </w:rPr>
        <w:t>日</w:t>
      </w:r>
      <w:r>
        <w:rPr>
          <w:rFonts w:hint="eastAsia" w:ascii="仿宋" w:hAnsi="仿宋" w:eastAsia="仿宋" w:cs="仿宋"/>
          <w:color w:val="000000"/>
          <w:sz w:val="28"/>
          <w:szCs w:val="28"/>
          <w:lang w:val="en-US" w:eastAsia="zh-CN"/>
        </w:rPr>
        <w:t>12</w:t>
      </w:r>
      <w:r>
        <w:rPr>
          <w:rFonts w:hint="eastAsia" w:ascii="仿宋" w:hAnsi="仿宋" w:eastAsia="仿宋" w:cs="仿宋"/>
          <w:color w:val="000000"/>
          <w:sz w:val="28"/>
          <w:szCs w:val="28"/>
        </w:rPr>
        <w:t>：00通过福州市公共资源电子交易系统进行网络报名，报名网址为：https://fzsggzyjyfwzx.cn/FZ，并按要求提交有效的营业执照、法定代表人证明、身份证（或护照）、现场踏勘确认书、资金来源承诺书等。</w:t>
      </w:r>
      <w:r>
        <w:rPr>
          <w:rFonts w:hint="eastAsia" w:ascii="仿宋" w:hAnsi="仿宋" w:eastAsia="仿宋" w:cs="仿宋"/>
          <w:b/>
          <w:bCs/>
          <w:color w:val="000000"/>
          <w:sz w:val="28"/>
          <w:szCs w:val="28"/>
        </w:rPr>
        <w:t>（建议竞买申请人在竞买申请截止前2天上传申请文件，预留审核、补件时间，在竞买申请截止后，竞买申请人无法再补交材料，材料审核不通过的，将无法参与竞买）。竞买申请审核通过后，申请人的竞买保证金（人民币）必须于20</w:t>
      </w:r>
      <w:r>
        <w:rPr>
          <w:rFonts w:hint="eastAsia" w:ascii="仿宋" w:hAnsi="仿宋" w:eastAsia="仿宋" w:cs="仿宋"/>
          <w:b/>
          <w:bCs/>
          <w:color w:val="000000"/>
          <w:sz w:val="28"/>
          <w:szCs w:val="28"/>
          <w:lang w:val="en-US" w:eastAsia="zh-CN"/>
        </w:rPr>
        <w:t>26</w:t>
      </w:r>
      <w:r>
        <w:rPr>
          <w:rFonts w:hint="eastAsia" w:ascii="仿宋" w:hAnsi="仿宋" w:eastAsia="仿宋" w:cs="仿宋"/>
          <w:b/>
          <w:bCs/>
          <w:color w:val="000000"/>
          <w:sz w:val="28"/>
          <w:szCs w:val="28"/>
        </w:rPr>
        <w:t>年</w:t>
      </w:r>
      <w:r>
        <w:rPr>
          <w:rFonts w:hint="eastAsia" w:ascii="仿宋" w:hAnsi="仿宋" w:eastAsia="仿宋" w:cs="仿宋"/>
          <w:b/>
          <w:bCs/>
          <w:color w:val="000000"/>
          <w:sz w:val="28"/>
          <w:szCs w:val="28"/>
          <w:lang w:val="en-US" w:eastAsia="zh-CN"/>
        </w:rPr>
        <w:t>8</w:t>
      </w:r>
      <w:r>
        <w:rPr>
          <w:rFonts w:hint="eastAsia" w:ascii="仿宋" w:hAnsi="仿宋" w:eastAsia="仿宋" w:cs="仿宋"/>
          <w:b/>
          <w:bCs/>
          <w:color w:val="000000"/>
          <w:sz w:val="28"/>
          <w:szCs w:val="28"/>
        </w:rPr>
        <w:t>月</w:t>
      </w:r>
      <w:r>
        <w:rPr>
          <w:rFonts w:hint="eastAsia" w:ascii="仿宋" w:hAnsi="仿宋" w:eastAsia="仿宋" w:cs="仿宋"/>
          <w:b/>
          <w:bCs/>
          <w:color w:val="000000"/>
          <w:sz w:val="28"/>
          <w:szCs w:val="28"/>
          <w:lang w:val="en-US" w:eastAsia="zh-CN"/>
        </w:rPr>
        <w:t>31</w:t>
      </w:r>
      <w:r>
        <w:rPr>
          <w:rFonts w:hint="eastAsia" w:ascii="仿宋" w:hAnsi="仿宋" w:eastAsia="仿宋" w:cs="仿宋"/>
          <w:b/>
          <w:bCs/>
          <w:color w:val="000000"/>
          <w:sz w:val="28"/>
          <w:szCs w:val="28"/>
        </w:rPr>
        <w:t>日</w:t>
      </w:r>
      <w:r>
        <w:rPr>
          <w:rFonts w:hint="eastAsia" w:ascii="仿宋" w:hAnsi="仿宋" w:eastAsia="仿宋" w:cs="仿宋"/>
          <w:b/>
          <w:bCs/>
          <w:color w:val="000000"/>
          <w:sz w:val="28"/>
          <w:szCs w:val="28"/>
          <w:lang w:val="en-US" w:eastAsia="zh-CN"/>
        </w:rPr>
        <w:t>17</w:t>
      </w:r>
      <w:r>
        <w:rPr>
          <w:rFonts w:hint="eastAsia" w:ascii="仿宋" w:hAnsi="仿宋" w:eastAsia="仿宋" w:cs="仿宋"/>
          <w:b/>
          <w:bCs/>
          <w:color w:val="000000"/>
          <w:sz w:val="28"/>
          <w:szCs w:val="28"/>
        </w:rPr>
        <w:t>:00前足额汇达至指定的账户</w:t>
      </w:r>
      <w:r>
        <w:rPr>
          <w:rFonts w:hint="eastAsia" w:ascii="仿宋" w:hAnsi="仿宋" w:eastAsia="仿宋" w:cs="仿宋"/>
          <w:color w:val="000000"/>
          <w:sz w:val="28"/>
          <w:szCs w:val="28"/>
        </w:rPr>
        <w:t>。</w:t>
      </w:r>
    </w:p>
    <w:p w14:paraId="6714271B">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六、成交价款支付方式</w:t>
      </w:r>
      <w:r>
        <w:rPr>
          <w:rFonts w:hint="eastAsia" w:ascii="仿宋" w:hAnsi="仿宋" w:eastAsia="仿宋" w:cs="仿宋"/>
          <w:b/>
          <w:bCs/>
          <w:color w:val="000000"/>
          <w:sz w:val="28"/>
          <w:szCs w:val="28"/>
          <w:lang w:eastAsia="zh-CN"/>
        </w:rPr>
        <w:t>：</w:t>
      </w:r>
    </w:p>
    <w:p w14:paraId="60A3A4FD">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tl w:val="0"/>
          <w:lang w:eastAsia="zh-CN"/>
        </w:rPr>
      </w:pPr>
      <w:r>
        <w:rPr>
          <w:rFonts w:hint="eastAsia" w:ascii="仿宋" w:hAnsi="仿宋" w:eastAsia="仿宋" w:cs="仿宋"/>
          <w:color w:val="000000"/>
          <w:sz w:val="28"/>
          <w:szCs w:val="28"/>
          <w:rtl w:val="0"/>
        </w:rPr>
        <w:t>宗</w:t>
      </w:r>
      <w:r>
        <w:rPr>
          <w:rFonts w:hint="eastAsia" w:ascii="仿宋" w:hAnsi="仿宋" w:eastAsia="仿宋" w:cs="仿宋"/>
          <w:color w:val="000000"/>
          <w:sz w:val="28"/>
          <w:szCs w:val="28"/>
        </w:rPr>
        <w:t>地20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20号</w:t>
      </w:r>
      <w:r>
        <w:rPr>
          <w:rFonts w:hint="eastAsia" w:ascii="仿宋" w:hAnsi="仿宋" w:eastAsia="仿宋" w:cs="仿宋"/>
          <w:color w:val="000000"/>
          <w:sz w:val="28"/>
          <w:szCs w:val="28"/>
          <w:rtl w:val="0"/>
        </w:rPr>
        <w:t>分两期，第一期出让金缴纳期限为</w:t>
      </w:r>
      <w:r>
        <w:rPr>
          <w:rFonts w:hint="eastAsia" w:ascii="仿宋_GB2312" w:hAnsi="Times New Roman" w:eastAsia="仿宋_GB2312" w:cs="Times New Roman"/>
          <w:color w:val="000000"/>
          <w:sz w:val="28"/>
          <w:szCs w:val="28"/>
          <w:rtl w:val="0"/>
          <w:lang w:val="en-US" w:eastAsia="zh-CN"/>
        </w:rPr>
        <w:t>成交之日起1个月内缴纳总价款的50％</w:t>
      </w:r>
      <w:r>
        <w:rPr>
          <w:rFonts w:hint="eastAsia" w:ascii="仿宋" w:hAnsi="仿宋" w:eastAsia="仿宋" w:cs="仿宋"/>
          <w:color w:val="000000"/>
          <w:sz w:val="28"/>
          <w:szCs w:val="28"/>
          <w:rtl w:val="0"/>
        </w:rPr>
        <w:t>，第二期出让金缴纳期限为成交之日起</w:t>
      </w:r>
      <w:r>
        <w:rPr>
          <w:rFonts w:hint="eastAsia" w:ascii="仿宋" w:hAnsi="仿宋" w:eastAsia="仿宋" w:cs="仿宋"/>
          <w:color w:val="000000"/>
          <w:sz w:val="28"/>
          <w:szCs w:val="28"/>
          <w:rtl w:val="0"/>
          <w:lang w:val="en-US" w:eastAsia="zh-CN"/>
        </w:rPr>
        <w:t>350日</w:t>
      </w:r>
      <w:r>
        <w:rPr>
          <w:rFonts w:hint="eastAsia" w:ascii="仿宋" w:hAnsi="仿宋" w:eastAsia="仿宋" w:cs="仿宋"/>
          <w:color w:val="000000"/>
          <w:sz w:val="28"/>
          <w:szCs w:val="28"/>
          <w:rtl w:val="0"/>
        </w:rPr>
        <w:t>内缴纳剩余的50％价款</w:t>
      </w:r>
      <w:r>
        <w:rPr>
          <w:rFonts w:hint="eastAsia" w:ascii="仿宋" w:hAnsi="仿宋" w:eastAsia="仿宋" w:cs="仿宋"/>
          <w:color w:val="000000"/>
          <w:sz w:val="28"/>
          <w:szCs w:val="28"/>
          <w:rtl w:val="0"/>
          <w:lang w:eastAsia="zh-CN"/>
        </w:rPr>
        <w:t>。</w:t>
      </w:r>
    </w:p>
    <w:p w14:paraId="7DD68568">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竞得人保证金可抵交地价款，竞买未得者将在十天内无息退回保证金。</w:t>
      </w:r>
    </w:p>
    <w:p w14:paraId="1C2A8F49">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七、</w:t>
      </w:r>
      <w:r>
        <w:rPr>
          <w:rFonts w:hint="eastAsia" w:ascii="仿宋" w:hAnsi="仿宋" w:eastAsia="仿宋" w:cs="仿宋"/>
          <w:b/>
          <w:bCs/>
          <w:color w:val="000000"/>
          <w:sz w:val="28"/>
          <w:szCs w:val="28"/>
        </w:rPr>
        <w:t>交地时间</w:t>
      </w:r>
    </w:p>
    <w:p w14:paraId="0A6E64F4">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宗地2026拍-20号为成交之日起12个月内交地。</w:t>
      </w:r>
    </w:p>
    <w:p w14:paraId="50023768">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八</w:t>
      </w:r>
      <w:r>
        <w:rPr>
          <w:rFonts w:hint="eastAsia" w:ascii="仿宋" w:hAnsi="仿宋" w:eastAsia="仿宋" w:cs="仿宋"/>
          <w:b/>
          <w:bCs/>
          <w:color w:val="000000"/>
          <w:sz w:val="28"/>
          <w:szCs w:val="28"/>
        </w:rPr>
        <w:t>、其他要求</w:t>
      </w:r>
    </w:p>
    <w:p w14:paraId="7129BC0F">
      <w:pPr>
        <w:pStyle w:val="2"/>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、地块内的弃土、渣土原则上在满足地块平整的前提下，多余部分应无偿运往市政府指定地点进行消纳。</w:t>
      </w:r>
    </w:p>
    <w:p w14:paraId="1F76D60F">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u w:val="single"/>
          <w:lang w:eastAsia="zh-CN"/>
        </w:rPr>
      </w:pPr>
      <w:r>
        <w:rPr>
          <w:rFonts w:hint="eastAsia" w:ascii="仿宋" w:hAnsi="仿宋" w:eastAsia="仿宋" w:cs="仿宋"/>
          <w:color w:val="000000"/>
          <w:sz w:val="28"/>
          <w:szCs w:val="28"/>
          <w:u w:val="single"/>
          <w:lang w:val="en-US" w:eastAsia="zh-CN"/>
        </w:rPr>
        <w:t>其他相关要求</w:t>
      </w:r>
      <w:r>
        <w:rPr>
          <w:rFonts w:hint="eastAsia" w:ascii="仿宋" w:hAnsi="仿宋" w:eastAsia="仿宋" w:cs="仿宋"/>
          <w:color w:val="000000"/>
          <w:sz w:val="28"/>
          <w:szCs w:val="28"/>
          <w:u w:val="single"/>
        </w:rPr>
        <w:t>具体详见拍卖文件</w:t>
      </w:r>
      <w:r>
        <w:rPr>
          <w:rFonts w:hint="eastAsia" w:ascii="仿宋" w:hAnsi="仿宋" w:eastAsia="仿宋" w:cs="仿宋"/>
          <w:color w:val="000000"/>
          <w:sz w:val="28"/>
          <w:szCs w:val="28"/>
          <w:u w:val="single"/>
          <w:lang w:eastAsia="zh-CN"/>
        </w:rPr>
        <w:t>。</w:t>
      </w:r>
    </w:p>
    <w:p w14:paraId="5879BD72">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九</w:t>
      </w:r>
      <w:r>
        <w:rPr>
          <w:rFonts w:hint="eastAsia" w:ascii="仿宋" w:hAnsi="仿宋" w:eastAsia="仿宋" w:cs="仿宋"/>
          <w:b/>
          <w:bCs/>
          <w:color w:val="000000"/>
          <w:sz w:val="28"/>
          <w:szCs w:val="28"/>
        </w:rPr>
        <w:t>、其他事项</w:t>
      </w:r>
    </w:p>
    <w:p w14:paraId="590DBF23">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1、本次土地出让工作由福清市公共资源交易服务中心具体组织实施，采取电子交易系统网络报名，按照价高者得的原则现场拍卖出让。</w:t>
      </w:r>
    </w:p>
    <w:p w14:paraId="101DD4BC">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竞买申请人应提前到福州市公共资源电子交易系统进行账号注册(若是联合竞买的，各方均需注册账号)，详细使用说明可登录福州市公共资源交易网（https://fzsggzyjyfwzx.cn）进入下载中心-&gt;【市本级】土矿系统操作手册-&gt;下载“土矿系统（竞买人）操作手册202101.pdf”进行查阅，使用过程中如有疑问可拨打下方的电子交易系统技术支持电话。</w:t>
      </w:r>
    </w:p>
    <w:p w14:paraId="01A8200C">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b/>
          <w:bCs/>
          <w:color w:val="000000"/>
          <w:sz w:val="28"/>
          <w:szCs w:val="28"/>
        </w:rPr>
      </w:pPr>
      <w:r>
        <w:rPr>
          <w:rFonts w:hint="eastAsia" w:ascii="仿宋" w:hAnsi="仿宋" w:eastAsia="仿宋" w:cs="仿宋"/>
          <w:color w:val="000000"/>
          <w:sz w:val="28"/>
          <w:szCs w:val="28"/>
        </w:rPr>
        <w:t>3、所有竞买申请人在拍卖会当天8:45前向工作人员提交纸质报名材料（须与在交易系统上提交的报名材料一致）。</w:t>
      </w:r>
    </w:p>
    <w:p w14:paraId="200BD78C">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十、本次拍卖地块的详细内容详见拍卖文件，本公告与拍卖文件内容不一致的，以拍卖文件为准。</w:t>
      </w:r>
    </w:p>
    <w:p w14:paraId="64BF725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p>
    <w:p w14:paraId="0FF5375B">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color w:val="000000"/>
          <w:sz w:val="28"/>
          <w:szCs w:val="28"/>
        </w:rPr>
      </w:pPr>
      <w:r>
        <w:rPr>
          <w:rFonts w:hint="eastAsia" w:ascii="仿宋" w:hAnsi="仿宋" w:eastAsia="仿宋" w:cs="仿宋"/>
          <w:b/>
          <w:bCs/>
          <w:color w:val="000000"/>
          <w:sz w:val="28"/>
          <w:szCs w:val="28"/>
        </w:rPr>
        <w:t>十</w:t>
      </w:r>
      <w:r>
        <w:rPr>
          <w:rFonts w:hint="eastAsia" w:ascii="仿宋" w:hAnsi="仿宋" w:eastAsia="仿宋" w:cs="仿宋"/>
          <w:b/>
          <w:bCs/>
          <w:color w:val="000000"/>
          <w:sz w:val="28"/>
          <w:szCs w:val="28"/>
          <w:lang w:val="en-US" w:eastAsia="zh-CN"/>
        </w:rPr>
        <w:t>一</w:t>
      </w:r>
      <w:r>
        <w:rPr>
          <w:rFonts w:hint="eastAsia" w:ascii="仿宋" w:hAnsi="仿宋" w:eastAsia="仿宋" w:cs="仿宋"/>
          <w:b/>
          <w:bCs/>
          <w:color w:val="000000"/>
          <w:sz w:val="28"/>
          <w:szCs w:val="28"/>
        </w:rPr>
        <w:t>、联系方式：</w:t>
      </w:r>
      <w:r>
        <w:rPr>
          <w:rFonts w:hint="eastAsia" w:ascii="仿宋" w:hAnsi="仿宋" w:eastAsia="仿宋" w:cs="仿宋"/>
          <w:color w:val="000000"/>
          <w:sz w:val="28"/>
          <w:szCs w:val="28"/>
        </w:rPr>
        <w:t>福清市公共资源交易服务中心         联系电话：0591-85301023</w:t>
      </w:r>
    </w:p>
    <w:p w14:paraId="1566028A">
      <w:pPr>
        <w:pStyle w:val="2"/>
        <w:keepNext w:val="0"/>
        <w:keepLines w:val="0"/>
        <w:pageBreakBefore w:val="0"/>
        <w:widowControl w:val="0"/>
        <w:kinsoku/>
        <w:wordWrap/>
        <w:topLinePunct w:val="0"/>
        <w:bidi w:val="0"/>
        <w:snapToGrid/>
        <w:spacing w:line="400" w:lineRule="exact"/>
        <w:ind w:firstLine="2800" w:firstLineChars="1000"/>
        <w:rPr>
          <w:rFonts w:hint="eastAsia" w:ascii="仿宋" w:hAnsi="仿宋" w:eastAsia="仿宋" w:cs="仿宋"/>
          <w:color w:val="000000"/>
          <w:sz w:val="28"/>
          <w:szCs w:val="28"/>
        </w:rPr>
      </w:pPr>
      <w:r>
        <w:rPr>
          <w:rFonts w:hint="eastAsia" w:ascii="仿宋" w:hAnsi="仿宋" w:eastAsia="仿宋" w:cs="仿宋"/>
          <w:color w:val="000000"/>
          <w:sz w:val="28"/>
          <w:szCs w:val="28"/>
        </w:rPr>
        <w:t>电子交易系统技术支持               联系电话：0591-83306027、15260477201、15394401750</w:t>
      </w:r>
    </w:p>
    <w:p w14:paraId="1FA68C79">
      <w:pPr>
        <w:pStyle w:val="2"/>
        <w:keepNext w:val="0"/>
        <w:keepLines w:val="0"/>
        <w:pageBreakBefore w:val="0"/>
        <w:widowControl w:val="0"/>
        <w:kinsoku/>
        <w:wordWrap/>
        <w:topLinePunct w:val="0"/>
        <w:bidi w:val="0"/>
        <w:snapToGrid/>
        <w:spacing w:line="400" w:lineRule="exact"/>
        <w:ind w:firstLine="2800" w:firstLineChars="1000"/>
        <w:rPr>
          <w:rFonts w:hint="eastAsia"/>
          <w:color w:val="000000"/>
        </w:rPr>
      </w:pPr>
      <w:r>
        <w:rPr>
          <w:rFonts w:hint="eastAsia" w:ascii="仿宋" w:hAnsi="仿宋" w:eastAsia="仿宋" w:cs="仿宋"/>
          <w:color w:val="000000"/>
          <w:sz w:val="28"/>
          <w:szCs w:val="28"/>
        </w:rPr>
        <w:t>福清市自然资源和规划局             联系电话：0591-86077127</w:t>
      </w:r>
    </w:p>
    <w:p w14:paraId="35A8FA29">
      <w:pPr>
        <w:pStyle w:val="2"/>
        <w:keepNext w:val="0"/>
        <w:keepLines w:val="0"/>
        <w:pageBreakBefore w:val="0"/>
        <w:widowControl w:val="0"/>
        <w:kinsoku/>
        <w:wordWrap/>
        <w:topLinePunct w:val="0"/>
        <w:bidi w:val="0"/>
        <w:snapToGrid/>
        <w:spacing w:line="400" w:lineRule="exact"/>
        <w:rPr>
          <w:rFonts w:hint="eastAsia"/>
          <w:color w:val="000000"/>
        </w:rPr>
      </w:pPr>
      <w:r>
        <w:rPr>
          <w:rFonts w:hint="eastAsia" w:ascii="仿宋" w:hAnsi="仿宋" w:eastAsia="仿宋" w:cs="仿宋"/>
          <w:color w:val="000000"/>
          <w:sz w:val="28"/>
          <w:szCs w:val="28"/>
        </w:rPr>
        <w:t xml:space="preserve">                    福建</w:t>
      </w:r>
      <w:r>
        <w:rPr>
          <w:rFonts w:hint="eastAsia" w:ascii="仿宋" w:hAnsi="仿宋" w:eastAsia="仿宋" w:cs="仿宋"/>
          <w:color w:val="000000"/>
          <w:sz w:val="28"/>
          <w:szCs w:val="28"/>
          <w:lang w:val="en-US" w:eastAsia="zh-CN"/>
        </w:rPr>
        <w:t>省</w:t>
      </w:r>
      <w:r>
        <w:rPr>
          <w:rFonts w:hint="eastAsia" w:ascii="仿宋" w:hAnsi="仿宋" w:eastAsia="仿宋" w:cs="仿宋"/>
          <w:color w:val="000000"/>
          <w:sz w:val="28"/>
          <w:szCs w:val="28"/>
        </w:rPr>
        <w:t>晨至信拍卖</w:t>
      </w:r>
      <w:r>
        <w:rPr>
          <w:rFonts w:hint="eastAsia" w:ascii="仿宋" w:hAnsi="仿宋" w:eastAsia="仿宋" w:cs="仿宋"/>
          <w:color w:val="000000"/>
          <w:sz w:val="28"/>
          <w:szCs w:val="28"/>
          <w:lang w:val="en-US" w:eastAsia="zh-CN"/>
        </w:rPr>
        <w:t>行</w:t>
      </w:r>
      <w:r>
        <w:rPr>
          <w:rFonts w:hint="eastAsia" w:ascii="仿宋" w:hAnsi="仿宋" w:eastAsia="仿宋" w:cs="仿宋"/>
          <w:color w:val="000000"/>
          <w:sz w:val="28"/>
          <w:szCs w:val="28"/>
        </w:rPr>
        <w:t>有限公司         联系电话：18065095588</w:t>
      </w:r>
      <w:r>
        <w:rPr>
          <w:rFonts w:hint="eastAsia"/>
          <w:color w:val="000000"/>
        </w:rPr>
        <w:t xml:space="preserve"> </w:t>
      </w:r>
    </w:p>
    <w:p w14:paraId="51219B13">
      <w:pPr>
        <w:keepNext w:val="0"/>
        <w:keepLines w:val="0"/>
        <w:pageBreakBefore w:val="0"/>
        <w:widowControl w:val="0"/>
        <w:numPr>
          <w:ilvl w:val="0"/>
          <w:numId w:val="0"/>
        </w:numPr>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十二、</w:t>
      </w:r>
      <w:r>
        <w:rPr>
          <w:rFonts w:hint="eastAsia" w:ascii="仿宋" w:hAnsi="仿宋" w:eastAsia="仿宋" w:cs="仿宋"/>
          <w:b/>
          <w:bCs/>
          <w:color w:val="000000"/>
          <w:sz w:val="28"/>
          <w:szCs w:val="28"/>
        </w:rPr>
        <w:t>保证金缴纳银行</w:t>
      </w:r>
    </w:p>
    <w:p w14:paraId="6FC53BA0">
      <w:pPr>
        <w:keepNext w:val="0"/>
        <w:keepLines w:val="0"/>
        <w:pageBreakBefore w:val="0"/>
        <w:widowControl w:val="0"/>
        <w:kinsoku/>
        <w:wordWrap/>
        <w:topLinePunct w:val="0"/>
        <w:bidi w:val="0"/>
        <w:snapToGrid/>
        <w:spacing w:line="400" w:lineRule="exact"/>
        <w:ind w:firstLine="560" w:firstLineChars="200"/>
        <w:rPr>
          <w:rFonts w:ascii="仿宋" w:hAnsi="仿宋" w:eastAsia="仿宋" w:cs="仿宋"/>
          <w:b/>
          <w:bCs/>
          <w:color w:val="000000"/>
          <w:sz w:val="28"/>
          <w:szCs w:val="28"/>
        </w:rPr>
      </w:pPr>
      <w:r>
        <w:rPr>
          <w:rFonts w:hint="eastAsia" w:ascii="仿宋" w:hAnsi="仿宋" w:eastAsia="仿宋" w:cs="仿宋"/>
          <w:color w:val="000000"/>
          <w:sz w:val="28"/>
          <w:szCs w:val="28"/>
        </w:rPr>
        <w:t>为推动我市数字人民币试点工作，鼓励申请人以数字人民币缴纳竞买保</w:t>
      </w:r>
      <w:r>
        <w:rPr>
          <w:rFonts w:hint="eastAsia" w:ascii="仿宋" w:hAnsi="仿宋" w:eastAsia="仿宋" w:cs="仿宋"/>
          <w:color w:val="000000"/>
          <w:sz w:val="28"/>
          <w:szCs w:val="28"/>
          <w:lang w:eastAsia="zh-CN"/>
        </w:rPr>
        <w:t>证金</w:t>
      </w:r>
      <w:r>
        <w:rPr>
          <w:rFonts w:hint="eastAsia" w:ascii="仿宋" w:hAnsi="仿宋" w:eastAsia="仿宋" w:cs="仿宋"/>
          <w:color w:val="000000"/>
          <w:sz w:val="28"/>
          <w:szCs w:val="28"/>
        </w:rPr>
        <w:t>，申请人在通过竞买资格审核后，竞买保证金可以数字人民币形式缴纳到以下数字人民币钱包。</w:t>
      </w:r>
    </w:p>
    <w:p w14:paraId="3412C866">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户  名：福清市公共资源交易服务中心</w:t>
      </w:r>
    </w:p>
    <w:p w14:paraId="7F2ECD50">
      <w:pPr>
        <w:keepNext w:val="0"/>
        <w:keepLines w:val="0"/>
        <w:pageBreakBefore w:val="0"/>
        <w:widowControl w:val="0"/>
        <w:numPr>
          <w:ilvl w:val="0"/>
          <w:numId w:val="0"/>
        </w:numPr>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账号：411776530313</w:t>
      </w:r>
    </w:p>
    <w:p w14:paraId="7905E15B">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数币钱包ID：0042000726261571</w:t>
      </w:r>
    </w:p>
    <w:p w14:paraId="66BBCC77">
      <w:pPr>
        <w:pStyle w:val="9"/>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开户行：中国银行股份有限公司福清分行</w:t>
      </w:r>
    </w:p>
    <w:p w14:paraId="26DE95F3">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账号：1402040129601217492</w:t>
      </w:r>
    </w:p>
    <w:p w14:paraId="72201A9F">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数币钱包ID：0022501056509004</w:t>
      </w:r>
    </w:p>
    <w:p w14:paraId="7BBB7129">
      <w:pPr>
        <w:pStyle w:val="9"/>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开户行：中国工商银行福清分行</w:t>
      </w:r>
    </w:p>
    <w:p w14:paraId="0C36A396">
      <w:pPr>
        <w:keepNext w:val="0"/>
        <w:keepLines w:val="0"/>
        <w:pageBreakBefore w:val="0"/>
        <w:widowControl w:val="0"/>
        <w:kinsoku/>
        <w:wordWrap/>
        <w:topLinePunct w:val="0"/>
        <w:bidi w:val="0"/>
        <w:snapToGrid/>
        <w:spacing w:line="400" w:lineRule="exact"/>
        <w:ind w:firstLine="1400" w:firstLineChars="500"/>
        <w:rPr>
          <w:rFonts w:hint="eastAsia"/>
          <w:color w:val="000000"/>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、账 号：35050161810700001785</w:t>
      </w:r>
    </w:p>
    <w:p w14:paraId="338AE333">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数币钱包ID：0052272670669417</w:t>
      </w:r>
    </w:p>
    <w:p w14:paraId="35FCAC76">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开户行：中国建设银行股份有限公司福清分行</w:t>
      </w:r>
      <w:bookmarkStart w:id="0" w:name="_GoBack"/>
      <w:bookmarkEnd w:id="0"/>
    </w:p>
    <w:p w14:paraId="5DFEE319">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4、美元保证金专用</w:t>
      </w:r>
    </w:p>
    <w:p w14:paraId="5AFDA6A2">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开户银行：中国银行股份有限公司福清分行</w:t>
      </w:r>
    </w:p>
    <w:p w14:paraId="7F12D9AD">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账号：405277886227</w:t>
      </w:r>
    </w:p>
    <w:p w14:paraId="376CF36E">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SWIFT CODE:BKCHCNBJ73L</w:t>
      </w:r>
    </w:p>
    <w:p w14:paraId="1570B5BF">
      <w:pPr>
        <w:keepNext w:val="0"/>
        <w:keepLines w:val="0"/>
        <w:pageBreakBefore w:val="0"/>
        <w:widowControl w:val="0"/>
        <w:kinsoku/>
        <w:wordWrap/>
        <w:topLinePunct w:val="0"/>
        <w:bidi w:val="0"/>
        <w:snapToGrid/>
        <w:spacing w:line="400" w:lineRule="exact"/>
        <w:ind w:left="1396" w:leftChars="665"/>
        <w:rPr>
          <w:rFonts w:hint="eastAsia"/>
          <w:color w:val="000000"/>
        </w:rPr>
      </w:pPr>
      <w:r>
        <w:rPr>
          <w:rFonts w:hint="eastAsia" w:ascii="仿宋" w:hAnsi="仿宋" w:eastAsia="仿宋" w:cs="仿宋"/>
          <w:color w:val="000000"/>
          <w:sz w:val="28"/>
          <w:szCs w:val="28"/>
        </w:rPr>
        <w:t>拟用美元缴纳竞买保证金的意向竞买人须与市公共资源交易服务中心及中国银行股份有限公司福清分行三方签订托管结算协议后方可参加竞买。</w:t>
      </w:r>
    </w:p>
    <w:p w14:paraId="7B77FF0F">
      <w:pPr>
        <w:keepNext w:val="0"/>
        <w:keepLines w:val="0"/>
        <w:pageBreakBefore w:val="0"/>
        <w:widowControl w:val="0"/>
        <w:kinsoku/>
        <w:wordWrap/>
        <w:topLinePunct w:val="0"/>
        <w:bidi w:val="0"/>
        <w:snapToGrid/>
        <w:spacing w:line="400" w:lineRule="exact"/>
        <w:ind w:firstLine="280" w:firstLineChars="1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福清市自然资源和规划局</w:t>
      </w:r>
    </w:p>
    <w:p w14:paraId="3328BBE0">
      <w:pPr>
        <w:keepNext w:val="0"/>
        <w:keepLines w:val="0"/>
        <w:pageBreakBefore w:val="0"/>
        <w:widowControl w:val="0"/>
        <w:kinsoku/>
        <w:wordWrap/>
        <w:topLinePunct w:val="0"/>
        <w:bidi w:val="0"/>
        <w:snapToGrid/>
        <w:spacing w:line="400" w:lineRule="exact"/>
        <w:ind w:firstLine="280" w:firstLineChars="1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11</w:t>
      </w:r>
      <w:r>
        <w:rPr>
          <w:rFonts w:hint="eastAsia" w:ascii="仿宋" w:hAnsi="仿宋" w:eastAsia="仿宋" w:cs="仿宋"/>
          <w:color w:val="000000"/>
          <w:sz w:val="28"/>
          <w:szCs w:val="28"/>
        </w:rPr>
        <w:t>日</w:t>
      </w:r>
    </w:p>
    <w:sectPr>
      <w:footerReference r:id="rId3" w:type="default"/>
      <w:footerReference r:id="rId4" w:type="even"/>
      <w:pgSz w:w="16386" w:h="11907" w:orient="landscape"/>
      <w:pgMar w:top="703" w:right="669" w:bottom="363" w:left="72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B890">
    <w:pPr>
      <w:pStyle w:val="3"/>
      <w:framePr w:wrap="around" w:vAnchor="text" w:hAnchor="margin" w:xAlign="center" w:y="1"/>
      <w:rPr>
        <w:rStyle w:val="8"/>
      </w:rPr>
    </w:pPr>
    <w:r>
      <w:fldChar w:fldCharType="begin"/>
    </w:r>
    <w:r>
      <w:rPr>
        <w:rStyle w:val="8"/>
      </w:rPr>
      <w:instrText xml:space="preserve">PAGE  </w:instrText>
    </w:r>
    <w:r>
      <w:fldChar w:fldCharType="separate"/>
    </w:r>
    <w:r>
      <w:rPr>
        <w:rStyle w:val="8"/>
      </w:rPr>
      <w:t>6</w:t>
    </w:r>
    <w:r>
      <w:fldChar w:fldCharType="end"/>
    </w:r>
  </w:p>
  <w:p w14:paraId="78E74431">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D2D3">
    <w:pPr>
      <w:pStyle w:val="3"/>
      <w:framePr w:wrap="around" w:vAnchor="text" w:hAnchor="margin" w:xAlign="center" w:y="1"/>
      <w:rPr>
        <w:rStyle w:val="8"/>
      </w:rPr>
    </w:pPr>
    <w:r>
      <w:fldChar w:fldCharType="begin"/>
    </w:r>
    <w:r>
      <w:rPr>
        <w:rStyle w:val="8"/>
      </w:rPr>
      <w:instrText xml:space="preserve">PAGE  </w:instrText>
    </w:r>
    <w:r>
      <w:fldChar w:fldCharType="end"/>
    </w:r>
  </w:p>
  <w:p w14:paraId="0D0A41EB">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E3F198"/>
    <w:multiLevelType w:val="singleLevel"/>
    <w:tmpl w:val="FAE3F19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4ODNhNWE4ZTlmNjhiMjFlY2JmNTFhZjllNTBjY2IifQ=="/>
  </w:docVars>
  <w:rsids>
    <w:rsidRoot w:val="00704C90"/>
    <w:rsid w:val="0001632E"/>
    <w:rsid w:val="000170CF"/>
    <w:rsid w:val="00017FA2"/>
    <w:rsid w:val="00022EE3"/>
    <w:rsid w:val="00037018"/>
    <w:rsid w:val="00037D91"/>
    <w:rsid w:val="0004312C"/>
    <w:rsid w:val="000575ED"/>
    <w:rsid w:val="00060736"/>
    <w:rsid w:val="00062432"/>
    <w:rsid w:val="000654F4"/>
    <w:rsid w:val="00065CE2"/>
    <w:rsid w:val="00085B16"/>
    <w:rsid w:val="000B122E"/>
    <w:rsid w:val="000D1F10"/>
    <w:rsid w:val="000D1F79"/>
    <w:rsid w:val="000E54A7"/>
    <w:rsid w:val="000E6475"/>
    <w:rsid w:val="000F3C29"/>
    <w:rsid w:val="00102A02"/>
    <w:rsid w:val="0011187F"/>
    <w:rsid w:val="00126133"/>
    <w:rsid w:val="00130285"/>
    <w:rsid w:val="001307BE"/>
    <w:rsid w:val="00145795"/>
    <w:rsid w:val="001518DF"/>
    <w:rsid w:val="00152CB6"/>
    <w:rsid w:val="0015399B"/>
    <w:rsid w:val="00161620"/>
    <w:rsid w:val="00171AEB"/>
    <w:rsid w:val="00195020"/>
    <w:rsid w:val="001A1396"/>
    <w:rsid w:val="001A62CD"/>
    <w:rsid w:val="001C1C4D"/>
    <w:rsid w:val="001C26CC"/>
    <w:rsid w:val="001C41D1"/>
    <w:rsid w:val="001E52C2"/>
    <w:rsid w:val="001F597B"/>
    <w:rsid w:val="001F7BAF"/>
    <w:rsid w:val="0020092D"/>
    <w:rsid w:val="002026F8"/>
    <w:rsid w:val="00226DE9"/>
    <w:rsid w:val="0023718A"/>
    <w:rsid w:val="002424C8"/>
    <w:rsid w:val="00266574"/>
    <w:rsid w:val="00293156"/>
    <w:rsid w:val="002975F3"/>
    <w:rsid w:val="002B20EF"/>
    <w:rsid w:val="002E0899"/>
    <w:rsid w:val="002E29E2"/>
    <w:rsid w:val="002F28E4"/>
    <w:rsid w:val="00315024"/>
    <w:rsid w:val="00317B31"/>
    <w:rsid w:val="00323334"/>
    <w:rsid w:val="0032617B"/>
    <w:rsid w:val="00327DE6"/>
    <w:rsid w:val="00327EF8"/>
    <w:rsid w:val="00330EF2"/>
    <w:rsid w:val="00333A15"/>
    <w:rsid w:val="00347CF0"/>
    <w:rsid w:val="003501E9"/>
    <w:rsid w:val="003517AD"/>
    <w:rsid w:val="0035590E"/>
    <w:rsid w:val="003634B9"/>
    <w:rsid w:val="00375F11"/>
    <w:rsid w:val="00381C1C"/>
    <w:rsid w:val="00395576"/>
    <w:rsid w:val="00396DFC"/>
    <w:rsid w:val="003A16CA"/>
    <w:rsid w:val="003B7BAF"/>
    <w:rsid w:val="003C7225"/>
    <w:rsid w:val="003D0D13"/>
    <w:rsid w:val="003D24DD"/>
    <w:rsid w:val="003D77F7"/>
    <w:rsid w:val="003E18AB"/>
    <w:rsid w:val="003F421F"/>
    <w:rsid w:val="0040437F"/>
    <w:rsid w:val="00410874"/>
    <w:rsid w:val="00410D77"/>
    <w:rsid w:val="00411D70"/>
    <w:rsid w:val="00412C5A"/>
    <w:rsid w:val="0041326B"/>
    <w:rsid w:val="00430E5B"/>
    <w:rsid w:val="00435164"/>
    <w:rsid w:val="00435AAE"/>
    <w:rsid w:val="00436646"/>
    <w:rsid w:val="00445394"/>
    <w:rsid w:val="00483AB6"/>
    <w:rsid w:val="004B3E40"/>
    <w:rsid w:val="004B57D3"/>
    <w:rsid w:val="004C0B56"/>
    <w:rsid w:val="004C3AA4"/>
    <w:rsid w:val="004F32AD"/>
    <w:rsid w:val="004F65E1"/>
    <w:rsid w:val="00502ABE"/>
    <w:rsid w:val="00505AC9"/>
    <w:rsid w:val="00505FB4"/>
    <w:rsid w:val="005239CE"/>
    <w:rsid w:val="00526E8D"/>
    <w:rsid w:val="00530574"/>
    <w:rsid w:val="00573809"/>
    <w:rsid w:val="00577271"/>
    <w:rsid w:val="00586EF1"/>
    <w:rsid w:val="00593716"/>
    <w:rsid w:val="005950E1"/>
    <w:rsid w:val="00595175"/>
    <w:rsid w:val="00595DCC"/>
    <w:rsid w:val="005A1E3E"/>
    <w:rsid w:val="005A4547"/>
    <w:rsid w:val="005A7AE4"/>
    <w:rsid w:val="005B4FD8"/>
    <w:rsid w:val="005B7FEE"/>
    <w:rsid w:val="00600239"/>
    <w:rsid w:val="006138DD"/>
    <w:rsid w:val="00617154"/>
    <w:rsid w:val="0061771A"/>
    <w:rsid w:val="0062059C"/>
    <w:rsid w:val="00626477"/>
    <w:rsid w:val="00633D47"/>
    <w:rsid w:val="00646DA8"/>
    <w:rsid w:val="00650414"/>
    <w:rsid w:val="0067519F"/>
    <w:rsid w:val="0069359C"/>
    <w:rsid w:val="006A0998"/>
    <w:rsid w:val="006A5D3D"/>
    <w:rsid w:val="006B53CE"/>
    <w:rsid w:val="006D69C0"/>
    <w:rsid w:val="006F53FB"/>
    <w:rsid w:val="006F7F36"/>
    <w:rsid w:val="00704C90"/>
    <w:rsid w:val="00710338"/>
    <w:rsid w:val="00720807"/>
    <w:rsid w:val="00723847"/>
    <w:rsid w:val="00730635"/>
    <w:rsid w:val="00732AB1"/>
    <w:rsid w:val="00744CF5"/>
    <w:rsid w:val="007565AA"/>
    <w:rsid w:val="00756BDC"/>
    <w:rsid w:val="007644D4"/>
    <w:rsid w:val="00772BDD"/>
    <w:rsid w:val="00777A33"/>
    <w:rsid w:val="00792D24"/>
    <w:rsid w:val="00794166"/>
    <w:rsid w:val="0079563E"/>
    <w:rsid w:val="007B2006"/>
    <w:rsid w:val="007B3603"/>
    <w:rsid w:val="007B463B"/>
    <w:rsid w:val="007C1700"/>
    <w:rsid w:val="007C1D4A"/>
    <w:rsid w:val="007C6ABD"/>
    <w:rsid w:val="007C748A"/>
    <w:rsid w:val="007D5A2A"/>
    <w:rsid w:val="007D7D11"/>
    <w:rsid w:val="007E0199"/>
    <w:rsid w:val="007E76ED"/>
    <w:rsid w:val="007F6336"/>
    <w:rsid w:val="00802623"/>
    <w:rsid w:val="00830EC7"/>
    <w:rsid w:val="00832B5C"/>
    <w:rsid w:val="008340BB"/>
    <w:rsid w:val="00844B24"/>
    <w:rsid w:val="008717F2"/>
    <w:rsid w:val="00875570"/>
    <w:rsid w:val="00890121"/>
    <w:rsid w:val="008A29DE"/>
    <w:rsid w:val="008C227E"/>
    <w:rsid w:val="008C7E72"/>
    <w:rsid w:val="008D5C18"/>
    <w:rsid w:val="008E7451"/>
    <w:rsid w:val="008F04F1"/>
    <w:rsid w:val="00903D5A"/>
    <w:rsid w:val="00904B2B"/>
    <w:rsid w:val="00916F07"/>
    <w:rsid w:val="009319B1"/>
    <w:rsid w:val="00943E31"/>
    <w:rsid w:val="00966630"/>
    <w:rsid w:val="0097038D"/>
    <w:rsid w:val="00972675"/>
    <w:rsid w:val="00972A15"/>
    <w:rsid w:val="00984524"/>
    <w:rsid w:val="00984E59"/>
    <w:rsid w:val="00991F91"/>
    <w:rsid w:val="009B1B8A"/>
    <w:rsid w:val="009B6634"/>
    <w:rsid w:val="009C318A"/>
    <w:rsid w:val="009D5846"/>
    <w:rsid w:val="009D798D"/>
    <w:rsid w:val="009E33D4"/>
    <w:rsid w:val="009E4C74"/>
    <w:rsid w:val="009F7D29"/>
    <w:rsid w:val="00A13DEC"/>
    <w:rsid w:val="00A14C57"/>
    <w:rsid w:val="00A41C08"/>
    <w:rsid w:val="00A4386D"/>
    <w:rsid w:val="00A454E1"/>
    <w:rsid w:val="00A544F7"/>
    <w:rsid w:val="00A67497"/>
    <w:rsid w:val="00A67ED4"/>
    <w:rsid w:val="00A90E4D"/>
    <w:rsid w:val="00A91D93"/>
    <w:rsid w:val="00AA3392"/>
    <w:rsid w:val="00AA3AB6"/>
    <w:rsid w:val="00AD5831"/>
    <w:rsid w:val="00AE432A"/>
    <w:rsid w:val="00AF1E27"/>
    <w:rsid w:val="00B05364"/>
    <w:rsid w:val="00B53FD5"/>
    <w:rsid w:val="00B553AC"/>
    <w:rsid w:val="00B620DB"/>
    <w:rsid w:val="00B620DE"/>
    <w:rsid w:val="00BB7525"/>
    <w:rsid w:val="00BF689B"/>
    <w:rsid w:val="00C00379"/>
    <w:rsid w:val="00C26A31"/>
    <w:rsid w:val="00C51E74"/>
    <w:rsid w:val="00C51F25"/>
    <w:rsid w:val="00C5295C"/>
    <w:rsid w:val="00C643B9"/>
    <w:rsid w:val="00C80BDC"/>
    <w:rsid w:val="00CB4D5B"/>
    <w:rsid w:val="00CE65D2"/>
    <w:rsid w:val="00CF2FA2"/>
    <w:rsid w:val="00CF496E"/>
    <w:rsid w:val="00D021DC"/>
    <w:rsid w:val="00D27E63"/>
    <w:rsid w:val="00D31BDB"/>
    <w:rsid w:val="00D410F6"/>
    <w:rsid w:val="00D41DFE"/>
    <w:rsid w:val="00D44F4F"/>
    <w:rsid w:val="00D47EBA"/>
    <w:rsid w:val="00D666F1"/>
    <w:rsid w:val="00D771D7"/>
    <w:rsid w:val="00D817B7"/>
    <w:rsid w:val="00D903ED"/>
    <w:rsid w:val="00D91EA6"/>
    <w:rsid w:val="00DA22BC"/>
    <w:rsid w:val="00DC691E"/>
    <w:rsid w:val="00DF0D64"/>
    <w:rsid w:val="00DF0E37"/>
    <w:rsid w:val="00DF3B15"/>
    <w:rsid w:val="00E168DA"/>
    <w:rsid w:val="00E171CB"/>
    <w:rsid w:val="00E212E0"/>
    <w:rsid w:val="00E26164"/>
    <w:rsid w:val="00E35621"/>
    <w:rsid w:val="00E56039"/>
    <w:rsid w:val="00E61C96"/>
    <w:rsid w:val="00E61CFB"/>
    <w:rsid w:val="00E62506"/>
    <w:rsid w:val="00E912E0"/>
    <w:rsid w:val="00E973FF"/>
    <w:rsid w:val="00EA42B2"/>
    <w:rsid w:val="00EA7021"/>
    <w:rsid w:val="00EB7A88"/>
    <w:rsid w:val="00EC24E0"/>
    <w:rsid w:val="00EC3FFA"/>
    <w:rsid w:val="00ED766F"/>
    <w:rsid w:val="00EE5206"/>
    <w:rsid w:val="00EF6689"/>
    <w:rsid w:val="00EF6834"/>
    <w:rsid w:val="00F1389E"/>
    <w:rsid w:val="00F143DB"/>
    <w:rsid w:val="00F45D27"/>
    <w:rsid w:val="00F5576D"/>
    <w:rsid w:val="00F5737D"/>
    <w:rsid w:val="00F90041"/>
    <w:rsid w:val="00F97131"/>
    <w:rsid w:val="00FA4786"/>
    <w:rsid w:val="00FC03E9"/>
    <w:rsid w:val="00FC14CA"/>
    <w:rsid w:val="00FF6FB2"/>
    <w:rsid w:val="01BD689C"/>
    <w:rsid w:val="024F66BC"/>
    <w:rsid w:val="025B6103"/>
    <w:rsid w:val="033377C0"/>
    <w:rsid w:val="036F22A4"/>
    <w:rsid w:val="03BF2102"/>
    <w:rsid w:val="03F434F8"/>
    <w:rsid w:val="045405CF"/>
    <w:rsid w:val="04644D0D"/>
    <w:rsid w:val="04D65645"/>
    <w:rsid w:val="05030AEE"/>
    <w:rsid w:val="055B7664"/>
    <w:rsid w:val="05793C8D"/>
    <w:rsid w:val="058C0715"/>
    <w:rsid w:val="05FD7FFD"/>
    <w:rsid w:val="062A4EBF"/>
    <w:rsid w:val="06456248"/>
    <w:rsid w:val="068E3CFD"/>
    <w:rsid w:val="069630B6"/>
    <w:rsid w:val="06F1615C"/>
    <w:rsid w:val="070604B4"/>
    <w:rsid w:val="07B76B46"/>
    <w:rsid w:val="082962AC"/>
    <w:rsid w:val="083656BD"/>
    <w:rsid w:val="089C6A7F"/>
    <w:rsid w:val="091C023F"/>
    <w:rsid w:val="092C4B57"/>
    <w:rsid w:val="0936200D"/>
    <w:rsid w:val="09EF726E"/>
    <w:rsid w:val="0A152F4F"/>
    <w:rsid w:val="0A2F0390"/>
    <w:rsid w:val="0ACE56F4"/>
    <w:rsid w:val="0AE8210A"/>
    <w:rsid w:val="0B770C78"/>
    <w:rsid w:val="0B983274"/>
    <w:rsid w:val="0BD73BCF"/>
    <w:rsid w:val="0D042F13"/>
    <w:rsid w:val="0D1131EB"/>
    <w:rsid w:val="0E9B6D0A"/>
    <w:rsid w:val="0EBA0320"/>
    <w:rsid w:val="0F8114C9"/>
    <w:rsid w:val="10182DB9"/>
    <w:rsid w:val="107D06AB"/>
    <w:rsid w:val="10DD4887"/>
    <w:rsid w:val="10FF2920"/>
    <w:rsid w:val="11CB5870"/>
    <w:rsid w:val="11DA2C7E"/>
    <w:rsid w:val="12A85583"/>
    <w:rsid w:val="12EB091D"/>
    <w:rsid w:val="130C0696"/>
    <w:rsid w:val="133049BB"/>
    <w:rsid w:val="141027A8"/>
    <w:rsid w:val="145F04F1"/>
    <w:rsid w:val="14985835"/>
    <w:rsid w:val="14D9282F"/>
    <w:rsid w:val="153627CA"/>
    <w:rsid w:val="15B14E64"/>
    <w:rsid w:val="16212EC4"/>
    <w:rsid w:val="169F72CB"/>
    <w:rsid w:val="16EC0E2F"/>
    <w:rsid w:val="17C71AD3"/>
    <w:rsid w:val="17D463CD"/>
    <w:rsid w:val="18682E1C"/>
    <w:rsid w:val="18C751BD"/>
    <w:rsid w:val="18E712F5"/>
    <w:rsid w:val="19920EC9"/>
    <w:rsid w:val="1A082209"/>
    <w:rsid w:val="1A395315"/>
    <w:rsid w:val="1AE42C20"/>
    <w:rsid w:val="1B6A434C"/>
    <w:rsid w:val="1BAD5D55"/>
    <w:rsid w:val="1BEC668A"/>
    <w:rsid w:val="1C221A8E"/>
    <w:rsid w:val="1C6D5096"/>
    <w:rsid w:val="1D8D2915"/>
    <w:rsid w:val="1D917F61"/>
    <w:rsid w:val="1DC6338F"/>
    <w:rsid w:val="1E1E53EF"/>
    <w:rsid w:val="1E824272"/>
    <w:rsid w:val="1EAA688D"/>
    <w:rsid w:val="1F5313AA"/>
    <w:rsid w:val="1F6434D7"/>
    <w:rsid w:val="1F656840"/>
    <w:rsid w:val="20223908"/>
    <w:rsid w:val="20810659"/>
    <w:rsid w:val="20D5638D"/>
    <w:rsid w:val="20F01631"/>
    <w:rsid w:val="21B12406"/>
    <w:rsid w:val="21C566E8"/>
    <w:rsid w:val="22554AAE"/>
    <w:rsid w:val="22911EDE"/>
    <w:rsid w:val="22A63D2F"/>
    <w:rsid w:val="244B45EE"/>
    <w:rsid w:val="24AD45AD"/>
    <w:rsid w:val="24CD1023"/>
    <w:rsid w:val="24F5233E"/>
    <w:rsid w:val="2529077E"/>
    <w:rsid w:val="25317A96"/>
    <w:rsid w:val="256526E9"/>
    <w:rsid w:val="257E7809"/>
    <w:rsid w:val="258C36A6"/>
    <w:rsid w:val="25FF7FEC"/>
    <w:rsid w:val="26506A30"/>
    <w:rsid w:val="26767892"/>
    <w:rsid w:val="27531C79"/>
    <w:rsid w:val="27FA56FC"/>
    <w:rsid w:val="28083F66"/>
    <w:rsid w:val="28204EF5"/>
    <w:rsid w:val="284501A3"/>
    <w:rsid w:val="284750ED"/>
    <w:rsid w:val="28490E7F"/>
    <w:rsid w:val="28A70C9B"/>
    <w:rsid w:val="28E746C6"/>
    <w:rsid w:val="28EB0393"/>
    <w:rsid w:val="29BD6429"/>
    <w:rsid w:val="2A287148"/>
    <w:rsid w:val="2A9C3DF6"/>
    <w:rsid w:val="2AE348A6"/>
    <w:rsid w:val="2BD14DDC"/>
    <w:rsid w:val="2BD66B61"/>
    <w:rsid w:val="2C8510F7"/>
    <w:rsid w:val="2D5C12A5"/>
    <w:rsid w:val="2D90649B"/>
    <w:rsid w:val="2DDD35CA"/>
    <w:rsid w:val="2DFA2614"/>
    <w:rsid w:val="2E575867"/>
    <w:rsid w:val="2E671E69"/>
    <w:rsid w:val="2ED17FB6"/>
    <w:rsid w:val="2EDA5188"/>
    <w:rsid w:val="2F762AB2"/>
    <w:rsid w:val="2F9B4AA9"/>
    <w:rsid w:val="2FB0786F"/>
    <w:rsid w:val="2FCE0A9F"/>
    <w:rsid w:val="2FE0777E"/>
    <w:rsid w:val="2FEB2063"/>
    <w:rsid w:val="300C0FB7"/>
    <w:rsid w:val="30654C8A"/>
    <w:rsid w:val="309605D0"/>
    <w:rsid w:val="30EA3266"/>
    <w:rsid w:val="30ED4CE1"/>
    <w:rsid w:val="31396224"/>
    <w:rsid w:val="31837F0F"/>
    <w:rsid w:val="31C45E82"/>
    <w:rsid w:val="31D738F6"/>
    <w:rsid w:val="323B70A6"/>
    <w:rsid w:val="32645030"/>
    <w:rsid w:val="33B43F5E"/>
    <w:rsid w:val="343C5E50"/>
    <w:rsid w:val="348F4DB3"/>
    <w:rsid w:val="34B97BB0"/>
    <w:rsid w:val="35081213"/>
    <w:rsid w:val="350A1541"/>
    <w:rsid w:val="363C2729"/>
    <w:rsid w:val="36577AAB"/>
    <w:rsid w:val="36D37DF1"/>
    <w:rsid w:val="370D545A"/>
    <w:rsid w:val="372818BA"/>
    <w:rsid w:val="3729326B"/>
    <w:rsid w:val="376968D1"/>
    <w:rsid w:val="376E0297"/>
    <w:rsid w:val="37717CAF"/>
    <w:rsid w:val="37813631"/>
    <w:rsid w:val="37AA0AF5"/>
    <w:rsid w:val="380D3CB0"/>
    <w:rsid w:val="38CA6F35"/>
    <w:rsid w:val="395137B6"/>
    <w:rsid w:val="39C444C7"/>
    <w:rsid w:val="39DB045B"/>
    <w:rsid w:val="3A88232D"/>
    <w:rsid w:val="3ACC7893"/>
    <w:rsid w:val="3AD60CCA"/>
    <w:rsid w:val="3AFA41EA"/>
    <w:rsid w:val="3B144731"/>
    <w:rsid w:val="3B693137"/>
    <w:rsid w:val="3B784929"/>
    <w:rsid w:val="3B896C25"/>
    <w:rsid w:val="3BB334A1"/>
    <w:rsid w:val="3C2E3F27"/>
    <w:rsid w:val="3CFF7A56"/>
    <w:rsid w:val="3D426A7A"/>
    <w:rsid w:val="3D4A1748"/>
    <w:rsid w:val="3E157CDF"/>
    <w:rsid w:val="3E801E30"/>
    <w:rsid w:val="3E8922B2"/>
    <w:rsid w:val="3EC15013"/>
    <w:rsid w:val="3FCD081B"/>
    <w:rsid w:val="402E4B5A"/>
    <w:rsid w:val="409E673D"/>
    <w:rsid w:val="40BC29D9"/>
    <w:rsid w:val="4104593D"/>
    <w:rsid w:val="412F584F"/>
    <w:rsid w:val="41A831B5"/>
    <w:rsid w:val="42B35BA4"/>
    <w:rsid w:val="43361E36"/>
    <w:rsid w:val="433C4704"/>
    <w:rsid w:val="435702D9"/>
    <w:rsid w:val="43681DA8"/>
    <w:rsid w:val="439B1463"/>
    <w:rsid w:val="443133A9"/>
    <w:rsid w:val="448C6B08"/>
    <w:rsid w:val="44CB10B1"/>
    <w:rsid w:val="45395A50"/>
    <w:rsid w:val="453E4CA2"/>
    <w:rsid w:val="457C570B"/>
    <w:rsid w:val="45D911CC"/>
    <w:rsid w:val="471A0124"/>
    <w:rsid w:val="481A22EC"/>
    <w:rsid w:val="487F23D5"/>
    <w:rsid w:val="489D2B44"/>
    <w:rsid w:val="49973EC2"/>
    <w:rsid w:val="49B2583F"/>
    <w:rsid w:val="49D74714"/>
    <w:rsid w:val="4A2731EC"/>
    <w:rsid w:val="4A760E30"/>
    <w:rsid w:val="4ACB1958"/>
    <w:rsid w:val="4B6253B5"/>
    <w:rsid w:val="4B89572B"/>
    <w:rsid w:val="4C0F661B"/>
    <w:rsid w:val="4C253D98"/>
    <w:rsid w:val="4C581E6D"/>
    <w:rsid w:val="4D457653"/>
    <w:rsid w:val="4D6D57A9"/>
    <w:rsid w:val="4DB25D1B"/>
    <w:rsid w:val="4DEF7D42"/>
    <w:rsid w:val="4DF43931"/>
    <w:rsid w:val="4E1F619D"/>
    <w:rsid w:val="4E4A5558"/>
    <w:rsid w:val="4E4E1A7B"/>
    <w:rsid w:val="4EA120AE"/>
    <w:rsid w:val="4EC63470"/>
    <w:rsid w:val="4F6C79A7"/>
    <w:rsid w:val="4FB65F07"/>
    <w:rsid w:val="4FD55530"/>
    <w:rsid w:val="51E005E7"/>
    <w:rsid w:val="520555CA"/>
    <w:rsid w:val="521A5BD2"/>
    <w:rsid w:val="523B454B"/>
    <w:rsid w:val="53191DF8"/>
    <w:rsid w:val="53C70A8B"/>
    <w:rsid w:val="5421478E"/>
    <w:rsid w:val="54646B7C"/>
    <w:rsid w:val="546E5A80"/>
    <w:rsid w:val="549A4F61"/>
    <w:rsid w:val="556F7437"/>
    <w:rsid w:val="56555C5A"/>
    <w:rsid w:val="5671606C"/>
    <w:rsid w:val="56806EA3"/>
    <w:rsid w:val="56DB62DB"/>
    <w:rsid w:val="56EE58C8"/>
    <w:rsid w:val="57084EC7"/>
    <w:rsid w:val="572C42D3"/>
    <w:rsid w:val="57F977A2"/>
    <w:rsid w:val="59172AB8"/>
    <w:rsid w:val="596C7F04"/>
    <w:rsid w:val="5AAD787D"/>
    <w:rsid w:val="5AE42C48"/>
    <w:rsid w:val="5B3D20EC"/>
    <w:rsid w:val="5B5119F2"/>
    <w:rsid w:val="5B527F94"/>
    <w:rsid w:val="5C415227"/>
    <w:rsid w:val="5D752101"/>
    <w:rsid w:val="5D97769E"/>
    <w:rsid w:val="5E7F6617"/>
    <w:rsid w:val="5E843EC4"/>
    <w:rsid w:val="5E926AE2"/>
    <w:rsid w:val="5F5C16F8"/>
    <w:rsid w:val="60680E08"/>
    <w:rsid w:val="60681DE6"/>
    <w:rsid w:val="60D06101"/>
    <w:rsid w:val="60D3583E"/>
    <w:rsid w:val="60F00AB3"/>
    <w:rsid w:val="61171EEB"/>
    <w:rsid w:val="61402521"/>
    <w:rsid w:val="61545916"/>
    <w:rsid w:val="63B63BB1"/>
    <w:rsid w:val="63D344CE"/>
    <w:rsid w:val="63E6352D"/>
    <w:rsid w:val="640E374B"/>
    <w:rsid w:val="644A19EF"/>
    <w:rsid w:val="64580C72"/>
    <w:rsid w:val="64FC1D26"/>
    <w:rsid w:val="64FF690F"/>
    <w:rsid w:val="65A14866"/>
    <w:rsid w:val="66501E60"/>
    <w:rsid w:val="66595A12"/>
    <w:rsid w:val="666B338A"/>
    <w:rsid w:val="667E2C4E"/>
    <w:rsid w:val="66AC6DA4"/>
    <w:rsid w:val="66B200F6"/>
    <w:rsid w:val="673A7A10"/>
    <w:rsid w:val="68DF4C9D"/>
    <w:rsid w:val="69186053"/>
    <w:rsid w:val="693F5E92"/>
    <w:rsid w:val="69624440"/>
    <w:rsid w:val="699A1FD7"/>
    <w:rsid w:val="6A196325"/>
    <w:rsid w:val="6A4D3573"/>
    <w:rsid w:val="6A6D4A66"/>
    <w:rsid w:val="6AC8031D"/>
    <w:rsid w:val="6AEB47E0"/>
    <w:rsid w:val="6B2878F8"/>
    <w:rsid w:val="6B4C2417"/>
    <w:rsid w:val="6C273A83"/>
    <w:rsid w:val="6C954740"/>
    <w:rsid w:val="6CAA4086"/>
    <w:rsid w:val="6CEE0E91"/>
    <w:rsid w:val="6D811868"/>
    <w:rsid w:val="6D8E737A"/>
    <w:rsid w:val="6DBA3AFF"/>
    <w:rsid w:val="6F0142FE"/>
    <w:rsid w:val="6F3439E2"/>
    <w:rsid w:val="6F73775C"/>
    <w:rsid w:val="6F9170BE"/>
    <w:rsid w:val="6FED0290"/>
    <w:rsid w:val="70255217"/>
    <w:rsid w:val="702A5AFC"/>
    <w:rsid w:val="70940048"/>
    <w:rsid w:val="713F0072"/>
    <w:rsid w:val="71966A05"/>
    <w:rsid w:val="727E2CB9"/>
    <w:rsid w:val="736A2A9B"/>
    <w:rsid w:val="73892787"/>
    <w:rsid w:val="73E82E86"/>
    <w:rsid w:val="740E2FCA"/>
    <w:rsid w:val="7461643C"/>
    <w:rsid w:val="756D14B2"/>
    <w:rsid w:val="75B13E10"/>
    <w:rsid w:val="760822FD"/>
    <w:rsid w:val="761614BA"/>
    <w:rsid w:val="76752BCD"/>
    <w:rsid w:val="777647E1"/>
    <w:rsid w:val="77A03370"/>
    <w:rsid w:val="77BA5C23"/>
    <w:rsid w:val="77C468AA"/>
    <w:rsid w:val="77FE3BC7"/>
    <w:rsid w:val="78351EF2"/>
    <w:rsid w:val="78777BCC"/>
    <w:rsid w:val="78C14295"/>
    <w:rsid w:val="78D61B86"/>
    <w:rsid w:val="78E63F3A"/>
    <w:rsid w:val="79224BE7"/>
    <w:rsid w:val="79270E46"/>
    <w:rsid w:val="793C45E8"/>
    <w:rsid w:val="795179E4"/>
    <w:rsid w:val="796F368D"/>
    <w:rsid w:val="79832B09"/>
    <w:rsid w:val="79A178FC"/>
    <w:rsid w:val="7A9C1B76"/>
    <w:rsid w:val="7ABD57DB"/>
    <w:rsid w:val="7B0750F0"/>
    <w:rsid w:val="7B086866"/>
    <w:rsid w:val="7C750F34"/>
    <w:rsid w:val="7C912350"/>
    <w:rsid w:val="7D046EC9"/>
    <w:rsid w:val="7D086F10"/>
    <w:rsid w:val="7E226405"/>
    <w:rsid w:val="7EB1292E"/>
    <w:rsid w:val="7F250A46"/>
    <w:rsid w:val="7F8B2D6A"/>
    <w:rsid w:val="7FB856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page number"/>
    <w:qFormat/>
    <w:uiPriority w:val="0"/>
  </w:style>
  <w:style w:type="paragraph" w:customStyle="1" w:styleId="9">
    <w:name w:val="Fließtext"/>
    <w:basedOn w:val="1"/>
    <w:qFormat/>
    <w:uiPriority w:val="0"/>
    <w:pPr>
      <w:overflowPunct w:val="0"/>
      <w:autoSpaceDE w:val="0"/>
      <w:autoSpaceDN w:val="0"/>
      <w:adjustRightInd w:val="0"/>
      <w:textAlignment w:val="baseline"/>
    </w:pPr>
    <w:rPr>
      <w:rFonts w:ascii="Times New Roman" w:hAnsi="Times New Roman" w:eastAsia="宋体" w:cs="Times New Roman"/>
      <w:kern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Ｑ　Ｆ　Ｃ</Company>
  <Pages>3</Pages>
  <Words>1686</Words>
  <Characters>2050</Characters>
  <Lines>25</Lines>
  <Paragraphs>7</Paragraphs>
  <TotalTime>16</TotalTime>
  <ScaleCrop>false</ScaleCrop>
  <LinksUpToDate>false</LinksUpToDate>
  <CharactersWithSpaces>2343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2015-02-12T02:35:00Z</dcterms:created>
  <dc:creator>User</dc:creator>
  <cp:lastModifiedBy>Administrator</cp:lastModifiedBy>
  <cp:lastPrinted>2026-07-24T00:19:00Z</cp:lastPrinted>
  <dcterms:modified xsi:type="dcterms:W3CDTF">2026-08-11T08:18:27Z</dcterms:modified>
  <dc:title>福清市人民政府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521E3FFDBD644C768AF06B62EA658999_13</vt:lpwstr>
  </property>
  <property fmtid="{D5CDD505-2E9C-101B-9397-08002B2CF9AE}" pid="4" name="KSOTemplateDocerSaveRecord">
    <vt:lpwstr>eyJoZGlkIjoiMTVkOWRhMGQ1YTkwYzk3N2FjZWQ5Y2FhYzRmYzc5MTgiLCJ1c2VySWQiOiIxNTI2MjUxMjU4In0=</vt:lpwstr>
  </property>
</Properties>
</file>