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cstheme="minorEastAsia"/>
          <w:sz w:val="24"/>
        </w:rPr>
      </w:pPr>
      <w:bookmarkStart w:id="11" w:name="_GoBack"/>
      <w:bookmarkEnd w:id="11"/>
      <w:r>
        <w:rPr>
          <w:rFonts w:hint="eastAsia" w:asciiTheme="minorEastAsia" w:hAnsiTheme="minorEastAsia" w:cstheme="minorEastAsia"/>
          <w:sz w:val="24"/>
        </w:rPr>
        <w:t>附件：</w:t>
      </w:r>
    </w:p>
    <w:p>
      <w:pPr>
        <w:widowControl/>
        <w:spacing w:line="360" w:lineRule="auto"/>
        <w:ind w:right="508" w:rightChars="242"/>
        <w:jc w:val="center"/>
        <w:rPr>
          <w:rStyle w:val="15"/>
          <w:rFonts w:ascii="宋体" w:hAnsi="宋体" w:eastAsia="宋体" w:cs="宋体"/>
          <w:bCs/>
          <w:color w:val="333333"/>
          <w:sz w:val="36"/>
          <w:szCs w:val="36"/>
          <w:shd w:val="clear" w:color="auto" w:fill="FFFFFF"/>
        </w:rPr>
      </w:pPr>
      <w:r>
        <w:rPr>
          <w:rStyle w:val="15"/>
          <w:rFonts w:hint="eastAsia" w:ascii="宋体" w:hAnsi="宋体" w:eastAsia="宋体" w:cs="宋体"/>
          <w:bCs/>
          <w:color w:val="333333"/>
          <w:sz w:val="36"/>
          <w:szCs w:val="36"/>
          <w:shd w:val="clear" w:color="auto" w:fill="FFFFFF"/>
        </w:rPr>
        <w:t>福州市公共资源交易服务中心</w:t>
      </w:r>
    </w:p>
    <w:p>
      <w:pPr>
        <w:widowControl/>
        <w:spacing w:line="360" w:lineRule="auto"/>
        <w:ind w:right="508" w:rightChars="242"/>
        <w:jc w:val="center"/>
        <w:rPr>
          <w:rFonts w:ascii="宋体" w:hAnsi="宋体" w:eastAsia="宋体" w:cs="仿宋"/>
          <w:b/>
          <w:sz w:val="44"/>
          <w:szCs w:val="44"/>
        </w:rPr>
      </w:pPr>
      <w:r>
        <w:rPr>
          <w:rStyle w:val="15"/>
          <w:rFonts w:hint="eastAsia" w:ascii="宋体" w:hAnsi="宋体" w:eastAsia="宋体" w:cs="宋体"/>
          <w:bCs/>
          <w:color w:val="333333"/>
          <w:sz w:val="32"/>
          <w:szCs w:val="32"/>
          <w:shd w:val="clear" w:color="auto" w:fill="FFFFFF"/>
        </w:rPr>
        <w:t>电子交易系统漏洞扫描及渗透测试服务项目</w:t>
      </w:r>
      <w:r>
        <w:rPr>
          <w:rFonts w:hint="eastAsia" w:ascii="宋体" w:hAnsi="宋体" w:eastAsia="宋体" w:cs="仿宋"/>
          <w:b/>
          <w:sz w:val="32"/>
          <w:szCs w:val="32"/>
        </w:rPr>
        <w:t>采购文件</w:t>
      </w:r>
    </w:p>
    <w:p>
      <w:pPr>
        <w:widowControl/>
        <w:shd w:val="clear" w:color="auto" w:fill="FFFFFF"/>
        <w:spacing w:line="360" w:lineRule="auto"/>
        <w:jc w:val="left"/>
        <w:textAlignment w:val="baseline"/>
        <w:rPr>
          <w:rFonts w:asciiTheme="minorEastAsia" w:hAnsiTheme="minorEastAsia" w:cstheme="minorEastAsia"/>
          <w:kern w:val="0"/>
          <w:sz w:val="24"/>
        </w:rPr>
      </w:pPr>
      <w:r>
        <w:rPr>
          <w:rFonts w:ascii="仿宋" w:hAnsi="仿宋" w:eastAsia="仿宋" w:cs="仿宋"/>
          <w:sz w:val="28"/>
          <w:szCs w:val="28"/>
        </w:rPr>
        <w:t xml:space="preserve"> </w:t>
      </w:r>
      <w:r>
        <w:rPr>
          <w:rFonts w:hint="eastAsia" w:asciiTheme="minorEastAsia" w:hAnsiTheme="minorEastAsia" w:cstheme="minorEastAsia"/>
          <w:sz w:val="24"/>
        </w:rPr>
        <w:t xml:space="preserve">   我单位拟对</w:t>
      </w:r>
      <w:r>
        <w:rPr>
          <w:rFonts w:hint="eastAsia" w:asciiTheme="minorEastAsia" w:hAnsiTheme="minorEastAsia" w:cstheme="minorEastAsia"/>
          <w:color w:val="333333"/>
          <w:sz w:val="24"/>
          <w:shd w:val="clear" w:color="auto" w:fill="FFFFFF"/>
        </w:rPr>
        <w:t>福州市公共资源交易服务中心电子交易系统漏洞扫描及渗透测试服务项目</w:t>
      </w:r>
      <w:r>
        <w:rPr>
          <w:rFonts w:hint="eastAsia" w:asciiTheme="minorEastAsia" w:hAnsiTheme="minorEastAsia" w:cstheme="minorEastAsia"/>
          <w:kern w:val="0"/>
          <w:sz w:val="24"/>
        </w:rPr>
        <w:t>进行询价比价方式采购，具体要求如下：</w:t>
      </w:r>
    </w:p>
    <w:p>
      <w:pPr>
        <w:widowControl/>
        <w:shd w:val="clear" w:color="auto" w:fill="FFFFFF"/>
        <w:spacing w:line="360" w:lineRule="auto"/>
        <w:ind w:firstLine="482" w:firstLineChars="200"/>
        <w:jc w:val="left"/>
        <w:textAlignment w:val="baseline"/>
        <w:rPr>
          <w:rFonts w:asciiTheme="minorEastAsia" w:hAnsiTheme="minorEastAsia" w:cstheme="minorEastAsia"/>
          <w:b/>
          <w:bCs/>
          <w:kern w:val="0"/>
          <w:sz w:val="24"/>
        </w:rPr>
      </w:pPr>
      <w:r>
        <w:rPr>
          <w:rFonts w:hint="eastAsia" w:asciiTheme="minorEastAsia" w:hAnsiTheme="minorEastAsia" w:cstheme="minorEastAsia"/>
          <w:b/>
          <w:bCs/>
          <w:kern w:val="0"/>
          <w:sz w:val="24"/>
        </w:rPr>
        <w:t>一、★采购内容（以“★”标示的内容为不允许负偏离的实质性要求，以下采购内容均不允许负偏离）</w:t>
      </w:r>
    </w:p>
    <w:tbl>
      <w:tblPr>
        <w:tblStyle w:val="12"/>
        <w:tblW w:w="9218" w:type="dxa"/>
        <w:tblInd w:w="-36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11"/>
        <w:gridCol w:w="1309"/>
        <w:gridCol w:w="1462"/>
        <w:gridCol w:w="556"/>
        <w:gridCol w:w="562"/>
        <w:gridCol w:w="3417"/>
        <w:gridCol w:w="13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92" w:hRule="atLeast"/>
          <w:tblHeader/>
        </w:trPr>
        <w:tc>
          <w:tcPr>
            <w:tcW w:w="61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b/>
                <w:bCs/>
                <w:color w:val="333333"/>
                <w:sz w:val="24"/>
              </w:rPr>
            </w:pPr>
            <w:r>
              <w:rPr>
                <w:rFonts w:hint="eastAsia" w:asciiTheme="minorEastAsia" w:hAnsiTheme="minorEastAsia" w:cstheme="minorEastAsia"/>
                <w:b/>
                <w:bCs/>
                <w:color w:val="333333"/>
                <w:kern w:val="0"/>
                <w:sz w:val="24"/>
                <w:lang w:bidi="ar"/>
              </w:rPr>
              <w:t>序号</w:t>
            </w:r>
          </w:p>
        </w:tc>
        <w:tc>
          <w:tcPr>
            <w:tcW w:w="130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b/>
                <w:bCs/>
                <w:color w:val="333333"/>
                <w:sz w:val="24"/>
              </w:rPr>
            </w:pPr>
            <w:r>
              <w:rPr>
                <w:rFonts w:hint="eastAsia" w:asciiTheme="minorEastAsia" w:hAnsiTheme="minorEastAsia" w:cstheme="minorEastAsia"/>
                <w:b/>
                <w:bCs/>
                <w:color w:val="333333"/>
                <w:kern w:val="0"/>
                <w:sz w:val="24"/>
                <w:lang w:bidi="ar"/>
              </w:rPr>
              <w:t>品目编码及品目名称</w:t>
            </w:r>
          </w:p>
        </w:tc>
        <w:tc>
          <w:tcPr>
            <w:tcW w:w="146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b/>
                <w:bCs/>
                <w:color w:val="333333"/>
                <w:sz w:val="24"/>
              </w:rPr>
            </w:pPr>
            <w:r>
              <w:rPr>
                <w:rFonts w:hint="eastAsia" w:asciiTheme="minorEastAsia" w:hAnsiTheme="minorEastAsia" w:cstheme="minorEastAsia"/>
                <w:b/>
                <w:bCs/>
                <w:color w:val="333333"/>
                <w:sz w:val="24"/>
              </w:rPr>
              <w:t>包名称</w:t>
            </w:r>
          </w:p>
        </w:tc>
        <w:tc>
          <w:tcPr>
            <w:tcW w:w="55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b/>
                <w:bCs/>
                <w:color w:val="333333"/>
                <w:sz w:val="24"/>
              </w:rPr>
            </w:pPr>
            <w:r>
              <w:rPr>
                <w:rFonts w:hint="eastAsia" w:asciiTheme="minorEastAsia" w:hAnsiTheme="minorEastAsia" w:cstheme="minorEastAsia"/>
                <w:b/>
                <w:bCs/>
                <w:color w:val="333333"/>
                <w:kern w:val="0"/>
                <w:sz w:val="24"/>
                <w:lang w:bidi="ar"/>
              </w:rPr>
              <w:t>数量</w:t>
            </w:r>
          </w:p>
        </w:tc>
        <w:tc>
          <w:tcPr>
            <w:tcW w:w="56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b/>
                <w:bCs/>
                <w:color w:val="333333"/>
                <w:sz w:val="24"/>
              </w:rPr>
            </w:pPr>
            <w:r>
              <w:rPr>
                <w:rFonts w:hint="eastAsia" w:asciiTheme="minorEastAsia" w:hAnsiTheme="minorEastAsia" w:cstheme="minorEastAsia"/>
                <w:b/>
                <w:bCs/>
                <w:color w:val="333333"/>
                <w:kern w:val="0"/>
                <w:sz w:val="24"/>
                <w:lang w:bidi="ar"/>
              </w:rPr>
              <w:t>允许进口</w:t>
            </w:r>
          </w:p>
        </w:tc>
        <w:tc>
          <w:tcPr>
            <w:tcW w:w="34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b/>
                <w:bCs/>
                <w:color w:val="333333"/>
                <w:sz w:val="24"/>
              </w:rPr>
            </w:pPr>
            <w:r>
              <w:rPr>
                <w:rFonts w:hint="eastAsia" w:asciiTheme="minorEastAsia" w:hAnsiTheme="minorEastAsia" w:cstheme="minorEastAsia"/>
                <w:b/>
                <w:bCs/>
                <w:color w:val="333333"/>
                <w:sz w:val="24"/>
              </w:rPr>
              <w:t>服务需求</w:t>
            </w:r>
          </w:p>
        </w:tc>
        <w:tc>
          <w:tcPr>
            <w:tcW w:w="130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b/>
                <w:bCs/>
                <w:color w:val="333333"/>
                <w:sz w:val="24"/>
              </w:rPr>
            </w:pPr>
            <w:r>
              <w:rPr>
                <w:rFonts w:hint="eastAsia" w:asciiTheme="minorEastAsia" w:hAnsiTheme="minorEastAsia" w:cstheme="minorEastAsia"/>
                <w:b/>
                <w:bCs/>
                <w:color w:val="333333"/>
                <w:kern w:val="0"/>
                <w:sz w:val="24"/>
                <w:lang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237" w:hRule="atLeast"/>
        </w:trPr>
        <w:tc>
          <w:tcPr>
            <w:tcW w:w="61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包1</w:t>
            </w:r>
          </w:p>
        </w:tc>
        <w:tc>
          <w:tcPr>
            <w:tcW w:w="130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color w:val="333333"/>
                <w:szCs w:val="21"/>
              </w:rPr>
            </w:pPr>
            <w:r>
              <w:rPr>
                <w:rFonts w:hint="eastAsia" w:asciiTheme="minorEastAsia" w:hAnsiTheme="minorEastAsia" w:cstheme="minorEastAsia"/>
                <w:color w:val="333333"/>
                <w:szCs w:val="21"/>
              </w:rPr>
              <w:t>[C16990000]其他信息技术服务</w:t>
            </w:r>
          </w:p>
        </w:tc>
        <w:tc>
          <w:tcPr>
            <w:tcW w:w="146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color w:val="333333"/>
                <w:szCs w:val="21"/>
              </w:rPr>
            </w:pPr>
            <w:r>
              <w:rPr>
                <w:rFonts w:hint="eastAsia" w:asciiTheme="minorEastAsia" w:hAnsiTheme="minorEastAsia" w:cstheme="minorEastAsia"/>
                <w:color w:val="333333"/>
                <w:szCs w:val="21"/>
              </w:rPr>
              <w:t>福州市公共资源交易服务中心电子交易系统漏洞扫描及渗透测试服务</w:t>
            </w:r>
          </w:p>
        </w:tc>
        <w:tc>
          <w:tcPr>
            <w:tcW w:w="55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1</w:t>
            </w:r>
          </w:p>
        </w:tc>
        <w:tc>
          <w:tcPr>
            <w:tcW w:w="56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否</w:t>
            </w:r>
          </w:p>
        </w:tc>
        <w:tc>
          <w:tcPr>
            <w:tcW w:w="3417" w:type="dxa"/>
            <w:tcBorders>
              <w:top w:val="outset" w:color="auto" w:sz="6" w:space="0"/>
              <w:left w:val="outset" w:color="auto" w:sz="6" w:space="0"/>
              <w:right w:val="outset" w:color="auto" w:sz="6" w:space="0"/>
            </w:tcBorders>
            <w:shd w:val="clear" w:color="auto" w:fill="FFFFFF"/>
            <w:vAlign w:val="center"/>
          </w:tcPr>
          <w:p>
            <w:pPr>
              <w:pStyle w:val="10"/>
              <w:widowControl/>
              <w:wordWrap w:val="0"/>
              <w:spacing w:beforeAutospacing="0" w:afterAutospacing="0" w:line="360" w:lineRule="auto"/>
              <w:rPr>
                <w:rFonts w:asciiTheme="minorEastAsia" w:hAnsiTheme="minorEastAsia" w:cstheme="minorEastAsia"/>
                <w:color w:val="333333"/>
                <w:sz w:val="21"/>
                <w:szCs w:val="21"/>
              </w:rPr>
            </w:pPr>
            <w:r>
              <w:rPr>
                <w:rFonts w:hint="eastAsia" w:asciiTheme="minorEastAsia" w:hAnsiTheme="minorEastAsia" w:cstheme="minorEastAsia"/>
                <w:color w:val="333333"/>
                <w:kern w:val="2"/>
                <w:sz w:val="21"/>
                <w:szCs w:val="21"/>
              </w:rPr>
              <w:t>1.对福州市公共资源电子交易平台（旧政务云26台服务器）、福州市建设工程电子招投标系统（新政务云32台服务器），以上两个信息系统，共计58台服务器，2024年度进行≥3次安全漏洞扫描和渗透测试服务（原则上2024年第2、3、4季度各一次，采购人有特别要求的除外），2025年度进行1次漏洞扫描和渗透测试服务。（原则上2025年第1季度完成，采购人有特别要求的除外）。并分别出具相应报告。</w:t>
            </w:r>
          </w:p>
          <w:p>
            <w:pPr>
              <w:pStyle w:val="10"/>
              <w:widowControl/>
              <w:wordWrap w:val="0"/>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color w:val="333333"/>
                <w:sz w:val="21"/>
                <w:szCs w:val="21"/>
              </w:rPr>
              <w:t>2.服务内容见附表。</w:t>
            </w:r>
          </w:p>
          <w:p>
            <w:pPr>
              <w:spacing w:line="360" w:lineRule="auto"/>
              <w:rPr>
                <w:rFonts w:asciiTheme="minorEastAsia" w:hAnsiTheme="minorEastAsia" w:cstheme="minorEastAsia"/>
                <w:szCs w:val="21"/>
              </w:rPr>
            </w:pPr>
            <w:r>
              <w:rPr>
                <w:rFonts w:hint="eastAsia" w:asciiTheme="minorEastAsia" w:hAnsiTheme="minorEastAsia" w:cstheme="minorEastAsia"/>
                <w:color w:val="333333"/>
                <w:szCs w:val="21"/>
              </w:rPr>
              <w:t>3.按政府部门制定的相关规范和技术要求以及交付完整的材料，并通过政府部门要求的系统安全绩效考核。项目工作成果应符合采购人的保密要求。</w:t>
            </w:r>
          </w:p>
          <w:p>
            <w:pPr>
              <w:spacing w:line="360" w:lineRule="auto"/>
              <w:rPr>
                <w:rFonts w:asciiTheme="minorEastAsia" w:hAnsiTheme="minorEastAsia" w:cstheme="minorEastAsia"/>
                <w:color w:val="333333"/>
                <w:szCs w:val="21"/>
              </w:rPr>
            </w:pPr>
            <w:r>
              <w:rPr>
                <w:rFonts w:hint="eastAsia" w:asciiTheme="minorEastAsia" w:hAnsiTheme="minorEastAsia" w:cstheme="minorEastAsia"/>
                <w:szCs w:val="21"/>
              </w:rPr>
              <w:t>四、</w:t>
            </w:r>
            <w:r>
              <w:rPr>
                <w:rFonts w:hint="eastAsia" w:asciiTheme="minorEastAsia" w:hAnsiTheme="minorEastAsia" w:cstheme="minorEastAsia"/>
                <w:color w:val="333333"/>
                <w:szCs w:val="21"/>
              </w:rPr>
              <w:t>服务</w:t>
            </w:r>
            <w:r>
              <w:rPr>
                <w:rFonts w:hint="eastAsia" w:asciiTheme="minorEastAsia" w:hAnsiTheme="minorEastAsia" w:cstheme="minorEastAsia"/>
                <w:color w:val="333333"/>
                <w:szCs w:val="21"/>
                <w:shd w:val="clear" w:color="auto" w:fill="FFFFFF"/>
              </w:rPr>
              <w:t>时间：合同签订之日起一年内。</w:t>
            </w:r>
          </w:p>
        </w:tc>
        <w:tc>
          <w:tcPr>
            <w:tcW w:w="130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uto"/>
              <w:jc w:val="center"/>
              <w:rPr>
                <w:rFonts w:asciiTheme="minorEastAsia" w:hAnsiTheme="minorEastAsia" w:cstheme="minorEastAsia"/>
                <w:color w:val="333333"/>
                <w:szCs w:val="21"/>
              </w:rPr>
            </w:pPr>
            <w:r>
              <w:rPr>
                <w:rFonts w:hint="eastAsia" w:asciiTheme="minorEastAsia" w:hAnsiTheme="minorEastAsia" w:cstheme="minorEastAsia"/>
                <w:color w:val="333333"/>
                <w:szCs w:val="21"/>
              </w:rPr>
              <w:t>100000</w:t>
            </w:r>
          </w:p>
        </w:tc>
      </w:tr>
    </w:tbl>
    <w:p>
      <w:pPr>
        <w:pStyle w:val="10"/>
        <w:widowControl/>
        <w:shd w:val="clear" w:color="auto" w:fill="FFFFFF"/>
        <w:spacing w:beforeAutospacing="0" w:afterAutospacing="0" w:line="360" w:lineRule="auto"/>
        <w:rPr>
          <w:rStyle w:val="15"/>
          <w:rFonts w:ascii="仿宋_GB2312" w:hAnsi="微软雅黑" w:eastAsia="仿宋_GB2312" w:cs="仿宋_GB2312"/>
          <w:b w:val="0"/>
          <w:color w:val="333333"/>
          <w:sz w:val="31"/>
          <w:szCs w:val="31"/>
          <w:shd w:val="clear" w:color="auto" w:fill="FFFFFF"/>
        </w:rPr>
      </w:pPr>
    </w:p>
    <w:p>
      <w:pPr>
        <w:pStyle w:val="10"/>
        <w:widowControl/>
        <w:shd w:val="clear" w:color="auto" w:fill="FFFFFF"/>
        <w:spacing w:beforeAutospacing="0" w:afterAutospacing="0" w:line="360" w:lineRule="auto"/>
        <w:rPr>
          <w:rStyle w:val="15"/>
          <w:rFonts w:ascii="仿宋_GB2312" w:hAnsi="微软雅黑" w:eastAsia="仿宋_GB2312" w:cs="仿宋_GB2312"/>
          <w:b w:val="0"/>
          <w:color w:val="333333"/>
          <w:sz w:val="31"/>
          <w:szCs w:val="31"/>
          <w:shd w:val="clear" w:color="auto" w:fill="FFFFFF"/>
        </w:rPr>
      </w:pPr>
    </w:p>
    <w:p>
      <w:pPr>
        <w:pStyle w:val="10"/>
        <w:widowControl/>
        <w:shd w:val="clear" w:color="auto" w:fill="FFFFFF"/>
        <w:spacing w:beforeAutospacing="0" w:afterAutospacing="0" w:line="360" w:lineRule="auto"/>
        <w:rPr>
          <w:rStyle w:val="15"/>
          <w:rFonts w:ascii="仿宋_GB2312" w:hAnsi="微软雅黑" w:eastAsia="仿宋_GB2312" w:cs="仿宋_GB2312"/>
          <w:b w:val="0"/>
          <w:color w:val="333333"/>
          <w:sz w:val="31"/>
          <w:szCs w:val="31"/>
          <w:shd w:val="clear" w:color="auto" w:fill="FFFFFF"/>
        </w:rPr>
      </w:pPr>
      <w:r>
        <w:rPr>
          <w:rStyle w:val="15"/>
          <w:rFonts w:hint="eastAsia" w:ascii="仿宋_GB2312" w:hAnsi="微软雅黑" w:eastAsia="仿宋_GB2312" w:cs="仿宋_GB2312"/>
          <w:b w:val="0"/>
          <w:color w:val="333333"/>
          <w:sz w:val="31"/>
          <w:szCs w:val="31"/>
          <w:shd w:val="clear" w:color="auto" w:fill="FFFFFF"/>
        </w:rPr>
        <w:t>附表：</w:t>
      </w:r>
    </w:p>
    <w:p>
      <w:pPr>
        <w:adjustRightInd w:val="0"/>
        <w:snapToGrid w:val="0"/>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招标内容要求</w:t>
      </w:r>
    </w:p>
    <w:p>
      <w:pPr>
        <w:pStyle w:val="2"/>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本项目招标内容要求全部条款内容均为“以“★”标示的内容”，即均为不允许负偏离的实质性要求。</w:t>
      </w: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18"/>
        <w:gridCol w:w="3288"/>
        <w:gridCol w:w="1228"/>
        <w:gridCol w:w="1407"/>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序号</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服务项目</w:t>
            </w:r>
          </w:p>
        </w:tc>
        <w:tc>
          <w:tcPr>
            <w:tcW w:w="3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服务内容</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交付成果</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服务频次</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漏洞扫描</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（1）针对内部主机如：服务器、操作系统、网络设备与数据库扫描；</w:t>
            </w:r>
          </w:p>
          <w:p>
            <w:pPr>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szCs w:val="21"/>
              </w:rPr>
              <w:t>（2）针对业务系统开展现场或远程扫描。</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漏洞扫描报告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w:t>
            </w:r>
            <w:r>
              <w:rPr>
                <w:rFonts w:hint="eastAsia" w:asciiTheme="minorEastAsia" w:hAnsiTheme="minorEastAsia" w:cstheme="minorEastAsia"/>
                <w:szCs w:val="21"/>
              </w:rPr>
              <w:t>2024年第2、3、4季度各一次，2025年第1季度一次</w:t>
            </w:r>
            <w:r>
              <w:rPr>
                <w:rFonts w:hint="eastAsia" w:asciiTheme="minorEastAsia" w:hAnsiTheme="minorEastAsia" w:cstheme="minorEastAsia"/>
                <w:color w:val="000000"/>
                <w:kern w:val="0"/>
                <w:szCs w:val="21"/>
              </w:rPr>
              <w:t>）</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渗透测试</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利用目标应用系统的安全弱点模拟真正的黑客入侵攻击方法，以人工渗透为主，以漏洞扫描工具为辅。</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渗透测试报告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w:t>
            </w:r>
            <w:r>
              <w:rPr>
                <w:rFonts w:hint="eastAsia" w:asciiTheme="minorEastAsia" w:hAnsiTheme="minorEastAsia" w:cstheme="minorEastAsia"/>
                <w:szCs w:val="21"/>
              </w:rPr>
              <w:t>2024年第2、3、4季度各一次，2025年第1季度一次</w:t>
            </w:r>
            <w:r>
              <w:rPr>
                <w:rFonts w:hint="eastAsia" w:asciiTheme="minorEastAsia" w:hAnsiTheme="minorEastAsia" w:cstheme="minorEastAsia"/>
                <w:color w:val="000000"/>
                <w:kern w:val="0"/>
                <w:szCs w:val="21"/>
              </w:rPr>
              <w:t>）</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协助安全加固</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安全加固（包含软件应用基线、数据库基线、中间件基线、操作系统基线等), 安全加固服务采用“人工+工具”加固方式，即通过安全基线检查和安全策略修复，并结合第三方安全加固工具实现对操作系统的全面安全增强, 1)安全加固工具支持内核级的强制访问控制功能，支持基于敏感标记(安全等级)控制文件读写权限（提供对应工具功能截图）2)安全加固工具支持白名单功能，只有属于白名单的进程可以运行，可以有效禁止病毒或木马的执行。（提供对应工具功能截图）3)安全加固工具支持基于MD5的识别技术的文件完整性检查功能，可对文件进行资源完整性监控。（提供对应工具功能截图）4)安全加固工具支持基线检查功能，能对常见的系统脆弱性进行一键扫描和加固修复。（提供对应工具功能截图）5)安全加固工具支持服务器的非法外联管控，避免服务器私自连接外部网络。（提供对应工具功能截图）6)安全加固工具支持外接USB设备的管控，可对接入的第三方USB设备进行控制，防止物理层面的非法接入行为。（提供对应工具功能截图）7）安全加固工具具有中国网络安全审查技术与认证中心颁发的IT产品信息安全认证证书，满足“ISCCC-TR-001-2017《操作系统安全加固产品安全技术要求》（增强级）”相关产品标准及技术要求。（提供对应工具证书复印件证明）</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安全咨询相关内容</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制度建设辅导</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采购人完善现有安全管理制度，按照等级保护管理部分的标准，从安全管理制度、安全管理机构、人员安全管理、系统建设管理、系统运维管理5个方面协助采购人补充及完善等级保护要求的管理体系建设中涉及到的制度文档，以及相关记录的完善。</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安全管理制度汇编</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入侵痕迹排查</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对中心部署在本地及云平台上的服务器操作系统和应用的运行环境进行入侵痕迹的安全检查，包括可疑的文件、服务、进程、端口、网络连接、网站WebShell后门等，综合评估当前系统运行环境安全情况，生产入侵痕迹检测报告，并提出安全修复建议</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《入侵清查报告》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安全防护设备租赁及演练</w:t>
            </w:r>
          </w:p>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支撑</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2"/>
              </w:numPr>
              <w:adjustRightInd w:val="0"/>
              <w:spacing w:line="360" w:lineRule="auto"/>
              <w:rPr>
                <w:rFonts w:asciiTheme="minorEastAsia" w:hAnsiTheme="minorEastAsia" w:cstheme="minorEastAsia"/>
                <w:szCs w:val="21"/>
              </w:rPr>
            </w:pPr>
            <w:r>
              <w:rPr>
                <w:rFonts w:hint="eastAsia" w:asciiTheme="minorEastAsia" w:hAnsiTheme="minorEastAsia" w:cstheme="minorEastAsia"/>
                <w:color w:val="000000"/>
                <w:kern w:val="0"/>
                <w:szCs w:val="21"/>
              </w:rPr>
              <w:t>在网络安全监管部门举办的攻防演练期间租赁包括下一代防火墙（</w:t>
            </w:r>
            <w:r>
              <w:rPr>
                <w:rFonts w:ascii="宋体" w:hAnsi="宋体" w:eastAsia="宋体" w:cs="宋体"/>
                <w:color w:val="000000"/>
                <w:sz w:val="24"/>
              </w:rPr>
              <w:t>≥</w:t>
            </w:r>
            <w:r>
              <w:rPr>
                <w:rFonts w:hint="eastAsia" w:asciiTheme="minorEastAsia" w:hAnsiTheme="minorEastAsia" w:cstheme="minorEastAsia"/>
                <w:color w:val="000000"/>
                <w:kern w:val="0"/>
                <w:szCs w:val="21"/>
              </w:rPr>
              <w:t>3台，要求具备入侵防御、网络防病毒功能）、高级持续性威胁检测设备(APT)（</w:t>
            </w:r>
            <w:r>
              <w:rPr>
                <w:rFonts w:ascii="宋体" w:hAnsi="宋体" w:eastAsia="宋体" w:cs="宋体"/>
                <w:color w:val="000000"/>
                <w:sz w:val="24"/>
              </w:rPr>
              <w:t>≥</w:t>
            </w:r>
            <w:r>
              <w:rPr>
                <w:rFonts w:hint="eastAsia" w:asciiTheme="minorEastAsia" w:hAnsiTheme="minorEastAsia" w:cstheme="minorEastAsia"/>
                <w:color w:val="000000"/>
                <w:kern w:val="0"/>
                <w:szCs w:val="21"/>
              </w:rPr>
              <w:t>1台，要求具备APT攻击预测技术和攻击防御技术）、Web应用防火墙（</w:t>
            </w:r>
            <w:r>
              <w:rPr>
                <w:rFonts w:ascii="宋体" w:hAnsi="宋体" w:eastAsia="宋体" w:cs="宋体"/>
                <w:color w:val="000000"/>
                <w:sz w:val="24"/>
              </w:rPr>
              <w:t>≥</w:t>
            </w:r>
            <w:r>
              <w:rPr>
                <w:rFonts w:hint="eastAsia" w:asciiTheme="minorEastAsia" w:hAnsiTheme="minorEastAsia" w:cstheme="minorEastAsia"/>
                <w:color w:val="000000"/>
                <w:kern w:val="0"/>
                <w:szCs w:val="21"/>
              </w:rPr>
              <w:t>1台，要求具备网页防篡改功能）、态势感知平台（</w:t>
            </w:r>
            <w:r>
              <w:rPr>
                <w:rFonts w:ascii="宋体" w:hAnsi="宋体" w:eastAsia="宋体" w:cs="宋体"/>
                <w:color w:val="000000"/>
                <w:sz w:val="24"/>
              </w:rPr>
              <w:t>≥</w:t>
            </w:r>
            <w:r>
              <w:rPr>
                <w:rFonts w:hint="eastAsia" w:asciiTheme="minorEastAsia" w:hAnsiTheme="minorEastAsia" w:cstheme="minorEastAsia"/>
                <w:color w:val="000000"/>
                <w:kern w:val="0"/>
                <w:szCs w:val="21"/>
              </w:rPr>
              <w:t>1台，具备展示对应安全事件的建议处置方式）及其他的安全厂商认为应增加的设备部署于中心互联网边界，确保基础网络运行安全，在本地和云平台互联网区服务器上部署主机安全防护系统（具有针对服务器入侵检测和防护功能，并配有服务端可实现集中管理与监测，非普通杀毒软件，软件授权一年）。</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相关设备</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每年按需提供（设备租赁时间</w:t>
            </w:r>
            <w:r>
              <w:rPr>
                <w:rFonts w:ascii="宋体" w:hAnsi="宋体" w:eastAsia="宋体" w:cs="宋体"/>
                <w:color w:val="000000"/>
                <w:sz w:val="24"/>
              </w:rPr>
              <w:t>≥</w:t>
            </w:r>
            <w:r>
              <w:rPr>
                <w:rFonts w:hint="eastAsia" w:asciiTheme="minorEastAsia" w:hAnsiTheme="minorEastAsia" w:cstheme="minorEastAsia"/>
                <w:color w:val="000000"/>
                <w:kern w:val="0"/>
                <w:szCs w:val="21"/>
              </w:rPr>
              <w:t>60天）</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重要时期安全保障</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具有重大政治影响的活动前夕派遣专业安全服务人员提供资产清查、网络及数据安全检查和加固服务，活动期间根据中心需要安排人员提供远程支持，确保各网络及信息系统的安全稳定运行。攻防演练期间安排≥2名安全技术人员远程5*8小时防守，借助云平台及本地现有和租赁的安全设备及部署的防护软件获取相关数据日志进行分析，根据分析结果进行威胁处置，并提供针对我单位系统的威胁攻击和处置数据的截图或日志（本地和云平台）等，确保单位网络及信息系统不被攻击成功，顺利完成防守任务，并协助中心编写演练相关材料报告。</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重保相关报告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每年按需提供（现场值守时间</w:t>
            </w:r>
            <w:r>
              <w:rPr>
                <w:rFonts w:ascii="宋体" w:hAnsi="宋体" w:eastAsia="宋体" w:cs="宋体"/>
                <w:color w:val="000000"/>
                <w:sz w:val="24"/>
              </w:rPr>
              <w:t>≥</w:t>
            </w:r>
            <w:r>
              <w:rPr>
                <w:rFonts w:hint="eastAsia" w:asciiTheme="minorEastAsia" w:hAnsiTheme="minorEastAsia" w:cstheme="minorEastAsia"/>
                <w:color w:val="000000"/>
                <w:kern w:val="0"/>
                <w:szCs w:val="21"/>
              </w:rPr>
              <w:t>30天）</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应急响应服务及疑难网络故障排查</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遇到突发事件后，立即开展故障排查，采取紧急措施并恢复业务；调查安全事件发生的原因，避免同类安全事件再次发生；在需要司法机关介入时，提供法律认可的数字证据等，根据中心需要协助开展网络安全应急演练，并对演练过程进行技术指导和支持，在遇到重大疑难网络故障时，安排技术人员协助排查故障原因；</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应急响应报告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全年，按需提供</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在线监测服务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对中心涉及的web站点提供可用性监控、网页挂马监控、网页敏感信息监控等：</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（1）网站可用性监控服务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全年7*24小时对网站首页进行轮询探测，网站访问不到则通过邮件或短信等方式进行告警，确保网站的可用性实时掌控；；</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（2）域名劫持监控服务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全年7*24小时对网站首页进行域名劫持探测，一旦发现域名被劫持则通过邮件或短信等方式进行告警。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（3）网页挂马监控服务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全年7*24小时采用远程监控方式对网站页面进行网页挂马分析，一旦识别到网页挂马行为，则进行邮件或短信进行告警。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（4）网站暗链监控服务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全年7*24小时采用远程监控方式对网站页面进行暗链分析，一旦识别到网页存在暗链行为，则进行邮件或短信进行告警。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（5）敏感内容监控服务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全年7*24小时对关键网页的敏感内容进行监控，识别网站存在政治、低俗等敏感内容情况，并进行邮件或短信进行告警。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（6）网站监控警服务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针对网站监控平台发现的问题，监控平台自动通过微信或者短信发送告警信息到系统管理员等相关人员。</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（7）网站安全监控报告</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安全服务提供商定期汇总安全监控情况，并提交详细的监控报告。</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安全监测月报</w:t>
            </w:r>
            <w:r>
              <w:rPr>
                <w:rFonts w:hint="eastAsia" w:asciiTheme="minorEastAsia" w:hAnsiTheme="minorEastAsia" w:cstheme="minorEastAsia"/>
                <w:color w:val="000000"/>
                <w:kern w:val="0"/>
                <w:szCs w:val="21"/>
                <w:lang w:bidi="ar"/>
              </w:rPr>
              <w:t>（报告每月1份）</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数据资产梳理服务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针对数据库资产以及数据库账户、权限情况进行梳理清查，通过对数据资产的摸底，形成数据资产清单，全局掌握数据资产情况。</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《数据资产清单》、《数据库账户权限清单》</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kern w:val="0"/>
                <w:szCs w:val="21"/>
              </w:rPr>
              <w:t>数据安全评估服务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福州市公共资源电子交易平台、福州市建设工程电子招投标系统以访谈形式提供数据安全评估服务，基于数据资产发现与梳理，识别敏感资产的状况，从数据安全管理、数据生命周期开展评估工作，并根据评估结果提出改善建议。</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《数据安全评估报告》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数据安全管理体系服务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协助健全数据安全管理体系，为制定数据安全相关管理制度、规范、流程、策略提供咨询服务。</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《数据安全组织制度》、《数据安全管理制度》</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攻防演练防守保障</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通过网络安全攻防演练，进一步检验网络安全防护能力、监测发现能力、应急处置能力，发现可能在网络安全防护、监测和处置措施中存在的短板，积累有效应对网络安全攻击和威胁的经验，促进网络安全积极防御、协同处置的体系建设，促进网络安全队伍建设，在实战中有效提升网络安全保障能力。针对演练活动提供演练统筹服务、演练前期风险自查服务、演练前期整改加固服务、汇报总结服务等。</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《检测报告》</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《总结报告》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bl>
    <w:p>
      <w:pPr>
        <w:pStyle w:val="10"/>
        <w:widowControl/>
        <w:shd w:val="clear" w:color="auto" w:fill="FFFFFF"/>
        <w:adjustRightInd w:val="0"/>
        <w:spacing w:beforeAutospacing="0" w:afterAutospacing="0" w:line="360" w:lineRule="auto"/>
        <w:ind w:firstLine="492"/>
        <w:rPr>
          <w:rFonts w:asciiTheme="minorEastAsia" w:hAnsiTheme="minorEastAsia" w:cstheme="minorEastAsia"/>
          <w:b/>
          <w:bCs/>
          <w:color w:val="333333"/>
        </w:rPr>
      </w:pPr>
      <w:r>
        <w:rPr>
          <w:rFonts w:hint="eastAsia" w:asciiTheme="minorEastAsia" w:hAnsiTheme="minorEastAsia" w:cstheme="minorEastAsia"/>
          <w:b/>
          <w:bCs/>
          <w:color w:val="333333"/>
          <w:shd w:val="clear" w:color="auto" w:fill="FFFFFF"/>
        </w:rPr>
        <w:t>二、供应商资格要求</w:t>
      </w: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r>
        <w:rPr>
          <w:rFonts w:hint="eastAsia" w:asciiTheme="minorEastAsia" w:hAnsiTheme="minorEastAsia" w:cstheme="minorEastAsia"/>
          <w:color w:val="333333"/>
          <w:shd w:val="clear" w:color="auto" w:fill="FFFFFF"/>
        </w:rPr>
        <w:t>1.符合《中华人民共和国政府采购法》第二十二条规定条件；</w:t>
      </w: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r>
        <w:rPr>
          <w:rFonts w:hint="eastAsia" w:asciiTheme="minorEastAsia" w:hAnsiTheme="minorEastAsia" w:cstheme="minorEastAsia"/>
          <w:color w:val="333333"/>
          <w:shd w:val="clear" w:color="auto" w:fill="FFFFFF"/>
        </w:rPr>
        <w:t>2.落实政府采购政策需满足的资格要求：</w:t>
      </w: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r>
        <w:rPr>
          <w:rFonts w:hint="eastAsia" w:asciiTheme="minorEastAsia" w:hAnsiTheme="minorEastAsia" w:cstheme="minorEastAsia"/>
          <w:color w:val="333333"/>
          <w:shd w:val="clear" w:color="auto" w:fill="FFFFFF"/>
        </w:rPr>
        <w:t>(1)本合同包专门面向中小微企业采购，非中小微企业的投标将被视为无效投标。①根据《政府采购促进中小企业发展管理办法》（财库〔2020〕46号），投标人应为符合该办法规定的小微企业，应当按要求提供符合规定的《中小企业声明函》，无须提供其他证明材料。②根据《关于政府采购支持监狱企业发展有关问题的通知》（财库〔2014〕68号）文件规定，符合规定的监狱和戒毒企业(以下简称监狱企业)参加政府采购活动视同小型、微型企业，应当提供由省级以上监狱管理局、戒毒管理局（含新疆生产建设兵团）出具的属于监狱企业的证明文件。③根据《关于促进残疾人就业政府采购政策的通知》（财库〔2017〕141号）文件规定，符合规定的残疾人福利性单位参加政府采购活动视同小型、微型企业，应当提供通知规定的《残疾人福利性单位声明函》并对声明的真实性负责。④本项目为服务类，采购标的对应的中小企业划分标准所属行业详见采购标的一览表。（如属于专门面向中小企业采购的项目,供应商应为中小微企业、监狱企业、残疾人福利性单位)</w:t>
      </w: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r>
        <w:rPr>
          <w:rFonts w:hint="eastAsia" w:asciiTheme="minorEastAsia" w:hAnsiTheme="minorEastAsia" w:cstheme="minorEastAsia"/>
          <w:color w:val="333333"/>
          <w:shd w:val="clear" w:color="auto" w:fill="FFFFFF"/>
        </w:rPr>
        <w:t>3.本项目的特定资格要求：</w:t>
      </w: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r>
        <w:rPr>
          <w:rFonts w:hint="eastAsia" w:asciiTheme="minorEastAsia" w:hAnsiTheme="minorEastAsia" w:cstheme="minorEastAsia"/>
          <w:color w:val="333333"/>
          <w:shd w:val="clear" w:color="auto" w:fill="FFFFFF"/>
        </w:rPr>
        <w:t>(1)资格承诺函（若有）：根据《福州市财政局关于进一步推进政府采购领域优化营商环境工作的通知》（榕财采〔2021〕52号），2022年1月1日起，预算金额在500万元以内的政府采购项目推行供应商资格证明材料承诺制。供应商在投标（响应）时，可自行选择是否按该通知规定提供资格承诺函，若按规定提供资格承诺函的，无需再提交财务状况、缴纳税收和社保资金缴纳等证明材料。注：采购人有权在签订合同前要求中标人提供相关证明材料以核实中标人承诺事项的真实性。投标人应当遵循诚实守信的原则，不得作出虚假承诺，承诺不实的，属于提供虚假材料谋取中标、成交，依法追究相关的法律责任。</w:t>
      </w: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r>
        <w:rPr>
          <w:rFonts w:hint="eastAsia" w:asciiTheme="minorEastAsia" w:hAnsiTheme="minorEastAsia" w:cstheme="minorEastAsia"/>
          <w:color w:val="333333"/>
          <w:shd w:val="clear" w:color="auto" w:fill="FFFFFF"/>
        </w:rPr>
        <w:t>4.境内具有独立法人资格且具备合格有效的营业执照，具有独立承担民事责任和履行合同能力，在近三年内的经营活动中没有重大违法记录（须提供公告发布之日后通过“信用中国”网站(www.creditchina.gov.cn)及中国政府采购网(www.ccgp.gov.cn)查询其上述信用记录的信用信息查询结果网页打印件或者截图（均注明网址））。</w:t>
      </w:r>
    </w:p>
    <w:p>
      <w:pPr>
        <w:pStyle w:val="10"/>
        <w:widowControl/>
        <w:shd w:val="clear" w:color="auto" w:fill="FFFFFF"/>
        <w:spacing w:beforeAutospacing="0" w:afterAutospacing="0" w:line="360" w:lineRule="auto"/>
        <w:ind w:firstLine="480" w:firstLineChars="200"/>
        <w:rPr>
          <w:rFonts w:ascii="仿宋_GB2312" w:hAnsi="仿宋_GB2312" w:eastAsia="仿宋_GB2312" w:cs="仿宋_GB2312"/>
          <w:color w:val="000000"/>
          <w:sz w:val="28"/>
          <w:szCs w:val="28"/>
        </w:rPr>
      </w:pPr>
      <w:r>
        <w:rPr>
          <w:rFonts w:hint="eastAsia" w:asciiTheme="minorEastAsia" w:hAnsiTheme="minorEastAsia" w:cstheme="minorEastAsia"/>
          <w:color w:val="333333"/>
          <w:shd w:val="clear" w:color="auto" w:fill="FFFFFF"/>
        </w:rPr>
        <w:t>5.供应商代表法人授权书原件（须提供法定代表人及供应商代表身份证正反面复印件），法人代表亲自参加的，可不提供授权书，只需提供法定代表人身份证即可。</w:t>
      </w:r>
    </w:p>
    <w:p>
      <w:pPr>
        <w:pStyle w:val="10"/>
        <w:widowControl/>
        <w:shd w:val="clear" w:color="auto" w:fill="FFFFFF"/>
        <w:spacing w:beforeAutospacing="0" w:afterAutospacing="0" w:line="360" w:lineRule="auto"/>
        <w:ind w:firstLine="645"/>
        <w:rPr>
          <w:rStyle w:val="15"/>
          <w:rFonts w:asciiTheme="minorEastAsia" w:hAnsiTheme="minorEastAsia" w:cstheme="minorEastAsia"/>
          <w:bCs/>
          <w:color w:val="333333"/>
          <w:shd w:val="clear" w:color="auto" w:fill="FFFFFF"/>
        </w:rPr>
      </w:pPr>
      <w:r>
        <w:rPr>
          <w:rStyle w:val="15"/>
          <w:rFonts w:hint="eastAsia" w:asciiTheme="minorEastAsia" w:hAnsiTheme="minorEastAsia" w:cstheme="minorEastAsia"/>
          <w:bCs/>
          <w:color w:val="333333"/>
          <w:shd w:val="clear" w:color="auto" w:fill="FFFFFF"/>
        </w:rPr>
        <w:t>三、比价方法和标准</w:t>
      </w:r>
    </w:p>
    <w:p>
      <w:pPr>
        <w:widowControl/>
        <w:spacing w:line="360" w:lineRule="auto"/>
        <w:ind w:right="508" w:rightChars="242" w:firstLine="480" w:firstLineChars="200"/>
        <w:jc w:val="left"/>
        <w:rPr>
          <w:rFonts w:asciiTheme="minorEastAsia" w:hAnsiTheme="minorEastAsia" w:cstheme="minorEastAsia"/>
          <w:color w:val="333333"/>
          <w:kern w:val="0"/>
          <w:sz w:val="24"/>
          <w:shd w:val="clear" w:color="auto" w:fill="FFFFFF"/>
          <w:lang w:bidi="ar"/>
        </w:rPr>
      </w:pPr>
      <w:r>
        <w:rPr>
          <w:rFonts w:hint="eastAsia" w:asciiTheme="minorEastAsia" w:hAnsiTheme="minorEastAsia" w:cstheme="minorEastAsia"/>
          <w:kern w:val="0"/>
          <w:sz w:val="24"/>
        </w:rPr>
        <w:t>1.供应商须</w:t>
      </w:r>
      <w:r>
        <w:rPr>
          <w:rFonts w:hint="eastAsia" w:asciiTheme="minorEastAsia" w:hAnsiTheme="minorEastAsia" w:cstheme="minorEastAsia"/>
          <w:color w:val="333333"/>
          <w:kern w:val="0"/>
          <w:sz w:val="24"/>
          <w:shd w:val="clear" w:color="auto" w:fill="FFFFFF"/>
          <w:lang w:bidi="ar"/>
        </w:rPr>
        <w:t xml:space="preserve">按报价文件格式提供1份报价文件。所有资料加盖公章、装订成册后，加盖骑缝章，用信封密封并在封口处加盖公章。 </w:t>
      </w:r>
    </w:p>
    <w:p>
      <w:pPr>
        <w:widowControl/>
        <w:spacing w:line="360" w:lineRule="auto"/>
        <w:ind w:right="508" w:rightChars="242"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2.截止时间前有效的报价供应商数量不少于3家，且比价期间符合所有比价条件的报价人不少于3家，否则本次采购程序终止，除采购任务取消情形外，将重新组织采购。</w:t>
      </w:r>
    </w:p>
    <w:p>
      <w:pPr>
        <w:widowControl/>
        <w:spacing w:line="360" w:lineRule="auto"/>
        <w:ind w:right="508" w:rightChars="242"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3.合同包采用最低价比价方法和标准：经比价小组评审，在提交的报价文件全部满足采购文件实质性要求的供应商不少于三家的前提下，依据统一的价格要素评定最低报价（报价不具合理性作无效报价处理），以提出最低报价的报价人作为成交候选供应商。</w:t>
      </w:r>
    </w:p>
    <w:p>
      <w:pPr>
        <w:widowControl/>
        <w:spacing w:line="360" w:lineRule="auto"/>
        <w:ind w:right="508" w:rightChars="242"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4.比价小组由3人组成。</w:t>
      </w:r>
    </w:p>
    <w:p>
      <w:pPr>
        <w:widowControl/>
        <w:spacing w:line="360" w:lineRule="auto"/>
        <w:ind w:right="508" w:rightChars="242" w:firstLine="560" w:firstLineChars="200"/>
        <w:jc w:val="left"/>
        <w:rPr>
          <w:rFonts w:ascii="仿宋_GB2312" w:hAnsi="仿宋_GB2312" w:eastAsia="仿宋_GB2312" w:cs="仿宋_GB2312"/>
          <w:kern w:val="0"/>
          <w:sz w:val="28"/>
          <w:szCs w:val="28"/>
        </w:rPr>
      </w:pPr>
    </w:p>
    <w:p>
      <w:pPr>
        <w:widowControl/>
        <w:spacing w:line="360" w:lineRule="auto"/>
        <w:ind w:right="508" w:rightChars="242"/>
        <w:rPr>
          <w:rFonts w:asciiTheme="minorEastAsia" w:hAnsiTheme="minorEastAsia" w:cstheme="minorEastAsia"/>
          <w:sz w:val="24"/>
        </w:rPr>
      </w:pPr>
      <w:r>
        <w:rPr>
          <w:rFonts w:ascii="仿宋" w:hAnsi="仿宋" w:eastAsia="仿宋" w:cs="宋体fal"/>
          <w:color w:val="000000"/>
          <w:kern w:val="0"/>
          <w:sz w:val="32"/>
          <w:szCs w:val="32"/>
        </w:rPr>
        <w:br w:type="page"/>
      </w:r>
      <w:r>
        <w:rPr>
          <w:rFonts w:hint="eastAsia" w:asciiTheme="minorEastAsia" w:hAnsiTheme="minorEastAsia" w:cstheme="minorEastAsia"/>
          <w:color w:val="000000"/>
          <w:kern w:val="0"/>
          <w:sz w:val="24"/>
        </w:rPr>
        <w:t>附件：</w:t>
      </w:r>
      <w:r>
        <w:rPr>
          <w:rFonts w:hint="eastAsia" w:asciiTheme="minorEastAsia" w:hAnsiTheme="minorEastAsia" w:cstheme="minorEastAsia"/>
          <w:sz w:val="24"/>
        </w:rPr>
        <w:t>报价文件格式</w:t>
      </w:r>
    </w:p>
    <w:p>
      <w:pPr>
        <w:pStyle w:val="2"/>
        <w:spacing w:line="360" w:lineRule="auto"/>
        <w:rPr>
          <w:rFonts w:asciiTheme="minorEastAsia" w:hAnsiTheme="minorEastAsia" w:cstheme="minorEastAsia"/>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1.中小企业声明函（服务）</w:t>
      </w: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本公司郑重声明，根据《政府采购促进中小企业发展管理办法》（财库﹝2020﹞46 号）的规定，本公司参加</w:t>
      </w:r>
      <w:r>
        <w:rPr>
          <w:rFonts w:hint="eastAsia" w:asciiTheme="minorEastAsia" w:hAnsiTheme="minorEastAsia" w:eastAsiaTheme="minorEastAsia" w:cstheme="minorEastAsia"/>
          <w:color w:val="333333"/>
          <w:sz w:val="24"/>
          <w:szCs w:val="24"/>
          <w:shd w:val="clear" w:color="auto" w:fill="FFFFFF"/>
        </w:rPr>
        <w:t>福州市公共资源交易服务中心电子交易系统漏洞扫描及渗透测试服务</w:t>
      </w:r>
      <w:r>
        <w:rPr>
          <w:rFonts w:hint="eastAsia" w:asciiTheme="minorEastAsia" w:hAnsiTheme="minorEastAsia" w:eastAsiaTheme="minorEastAsia" w:cstheme="minorEastAsia"/>
          <w:bCs/>
          <w:sz w:val="24"/>
          <w:szCs w:val="24"/>
        </w:rPr>
        <w:t>全部由符合政策要求的中小企业承接。相关企业的具体情况如下：</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（标的名称），属于（采购文件中明确的所属行业），</w:t>
      </w:r>
      <w:r>
        <w:rPr>
          <w:rFonts w:hint="eastAsia" w:asciiTheme="minorEastAsia" w:hAnsiTheme="minorEastAsia" w:eastAsiaTheme="minorEastAsia" w:cstheme="minorEastAsia"/>
          <w:color w:val="333333"/>
          <w:sz w:val="24"/>
          <w:szCs w:val="24"/>
        </w:rPr>
        <w:t>对应的中小企业划分标准所属行业为其他未列明行业</w:t>
      </w:r>
      <w:r>
        <w:rPr>
          <w:rFonts w:hint="eastAsia" w:asciiTheme="minorEastAsia" w:hAnsiTheme="minorEastAsia" w:eastAsiaTheme="minorEastAsia" w:cstheme="minorEastAsia"/>
          <w:bCs/>
          <w:sz w:val="24"/>
          <w:szCs w:val="24"/>
        </w:rPr>
        <w:t>；承接企业为（企业名称），从业人员 人，营业收入为  万元，资产总额为  万元，属于（中型企业、小型企业、微型企业）；</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以上企业，不属于大企业的分支机构，不存在控股股东为大企业的情形，也不存在与大企业的负责人为同一人的情形。</w:t>
      </w: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本企业对上述声明内容的真实性负责。如有虚假，将依法承担相应责任。</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righ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企业名称（盖章）：</w:t>
      </w: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日期：</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※注意：</w:t>
      </w: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1、从业人员、营业收入、资产总额填报上一年度数据，无上一年度数据的新成立企业可不填报。</w:t>
      </w: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2、供应商须按采购文件中明确的所属行业填列，否则，其提供的中小企业声明将被判定为无效声明函，由此造成的后果由供应商自行承担（涉及资格的按无效投标处理；涉及价格评审优惠的，不予认定）。</w:t>
      </w:r>
    </w:p>
    <w:p>
      <w:pPr>
        <w:pStyle w:val="2"/>
        <w:spacing w:line="360" w:lineRule="auto"/>
        <w:ind w:firstLine="0"/>
        <w:rPr>
          <w:rFonts w:asciiTheme="minorEastAsia" w:hAnsiTheme="minorEastAsia" w:cstheme="minorEastAsia"/>
          <w:bCs/>
          <w:sz w:val="24"/>
          <w:szCs w:val="24"/>
        </w:rPr>
      </w:pPr>
      <w:r>
        <w:rPr>
          <w:rFonts w:hint="eastAsia" w:asciiTheme="minorEastAsia" w:hAnsiTheme="minorEastAsia" w:cstheme="minorEastAsia"/>
          <w:bCs/>
          <w:sz w:val="24"/>
          <w:szCs w:val="24"/>
        </w:rPr>
        <w:t>3、供应商应当对其出具的《中小企业声明函》真实性负责，供应商出具的《中小企业声明函》内容不实的，属于提供虚假材料谋取成交。</w:t>
      </w:r>
    </w:p>
    <w:p>
      <w:pPr>
        <w:rPr>
          <w:rFonts w:asciiTheme="minorEastAsia" w:hAnsiTheme="minorEastAsia" w:cstheme="minorEastAsia"/>
          <w:bCs/>
          <w:sz w:val="24"/>
        </w:rPr>
      </w:pPr>
      <w:r>
        <w:rPr>
          <w:rFonts w:hint="eastAsia" w:asciiTheme="minorEastAsia" w:hAnsiTheme="minorEastAsia" w:cstheme="minorEastAsia"/>
          <w:bCs/>
          <w:sz w:val="24"/>
        </w:rPr>
        <w:br w:type="page"/>
      </w:r>
    </w:p>
    <w:p>
      <w:pPr>
        <w:pStyle w:val="19"/>
        <w:spacing w:line="360" w:lineRule="auto"/>
        <w:jc w:val="center"/>
        <w:outlineLvl w:val="2"/>
        <w:rPr>
          <w:rFonts w:asciiTheme="minorEastAsia" w:hAnsiTheme="minorEastAsia" w:eastAsiaTheme="minorEastAsia" w:cstheme="minorEastAsia"/>
          <w:b/>
          <w:sz w:val="24"/>
          <w:szCs w:val="24"/>
        </w:rPr>
      </w:pPr>
      <w:bookmarkStart w:id="0" w:name="_Toc359935966"/>
      <w:bookmarkStart w:id="1" w:name="_Toc282523100"/>
      <w:bookmarkStart w:id="2" w:name="_Toc282523292"/>
      <w:bookmarkStart w:id="3" w:name="_Toc286153836"/>
      <w:bookmarkStart w:id="4" w:name="_Toc325095601"/>
      <w:bookmarkStart w:id="5" w:name="_Toc281918611"/>
      <w:r>
        <w:rPr>
          <w:rFonts w:hint="eastAsia" w:asciiTheme="minorEastAsia" w:hAnsiTheme="minorEastAsia" w:eastAsiaTheme="minorEastAsia" w:cstheme="minorEastAsia"/>
          <w:b/>
          <w:sz w:val="24"/>
          <w:szCs w:val="24"/>
        </w:rPr>
        <w:t>残疾人福利性单位声明函（若有）</w:t>
      </w: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（以资格条件落实中小企业扶持政策时适用，若有）</w:t>
      </w: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Theme="minorEastAsia" w:hAnsiTheme="minorEastAsia" w:eastAsiaTheme="minorEastAsia" w:cstheme="minorEastAsia"/>
          <w:color w:val="333333"/>
          <w:sz w:val="24"/>
          <w:szCs w:val="24"/>
          <w:shd w:val="clear" w:color="auto" w:fill="FFFFFF"/>
        </w:rPr>
        <w:t>福州市公共资源交易服务中心电子交易系统漏洞扫描及渗透测试服务</w:t>
      </w:r>
      <w:r>
        <w:rPr>
          <w:rFonts w:hint="eastAsia" w:asciiTheme="minorEastAsia" w:hAnsiTheme="minorEastAsia" w:eastAsiaTheme="minorEastAsia" w:cstheme="minorEastAsia"/>
          <w:bCs/>
          <w:sz w:val="24"/>
          <w:szCs w:val="24"/>
        </w:rPr>
        <w:t>”）项目采购活动：</w:t>
      </w:r>
    </w:p>
    <w:p>
      <w:pPr>
        <w:pStyle w:val="19"/>
        <w:spacing w:line="360" w:lineRule="auto"/>
        <w:jc w:val="left"/>
        <w:outlineLvl w:val="2"/>
        <w:rPr>
          <w:rFonts w:asciiTheme="minorEastAsia" w:hAnsiTheme="minorEastAsia" w:eastAsiaTheme="minorEastAsia" w:cstheme="minorEastAsia"/>
          <w:bCs/>
          <w:sz w:val="24"/>
          <w:szCs w:val="24"/>
        </w:rPr>
      </w:pPr>
    </w:p>
    <w:p>
      <w:pPr>
        <w:pStyle w:val="19"/>
        <w:spacing w:line="360" w:lineRule="auto"/>
        <w:ind w:firstLine="480" w:firstLineChars="200"/>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由本供应商承接（     ）服务；</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本供应商对上述声明的真实性负责。如有虚假，将依法承担相应责任。</w:t>
      </w: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w:t>
      </w:r>
    </w:p>
    <w:p>
      <w:pPr>
        <w:pStyle w:val="19"/>
        <w:spacing w:line="360" w:lineRule="auto"/>
        <w:jc w:val="left"/>
        <w:outlineLvl w:val="2"/>
        <w:rPr>
          <w:rFonts w:asciiTheme="minorEastAsia" w:hAnsiTheme="minorEastAsia" w:eastAsiaTheme="minorEastAsia" w:cstheme="minorEastAsia"/>
          <w:bCs/>
          <w:sz w:val="24"/>
          <w:szCs w:val="24"/>
        </w:rPr>
      </w:pP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备注：</w:t>
      </w:r>
    </w:p>
    <w:p>
      <w:pPr>
        <w:pStyle w:val="19"/>
        <w:spacing w:line="360" w:lineRule="auto"/>
        <w:jc w:val="left"/>
        <w:outlineLvl w:val="2"/>
        <w:rPr>
          <w:rFonts w:asciiTheme="minorEastAsia" w:hAnsiTheme="minorEastAsia" w:eastAsiaTheme="minorEastAsia" w:cstheme="minorEastAsia"/>
          <w:bCs/>
          <w:sz w:val="24"/>
          <w:szCs w:val="24"/>
        </w:rPr>
      </w:pP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1、请供应商按照实际情况编制填写本声明函。</w:t>
      </w:r>
    </w:p>
    <w:p>
      <w:pPr>
        <w:pStyle w:val="19"/>
        <w:spacing w:line="360" w:lineRule="auto"/>
        <w:jc w:val="left"/>
        <w:outlineLvl w:val="2"/>
        <w:rPr>
          <w:rFonts w:asciiTheme="minorEastAsia" w:hAnsiTheme="minorEastAsia" w:eastAsiaTheme="minorEastAsia" w:cstheme="minorEastAsia"/>
          <w:bCs/>
          <w:sz w:val="24"/>
          <w:szCs w:val="24"/>
        </w:rPr>
      </w:pPr>
    </w:p>
    <w:p>
      <w:pPr>
        <w:pStyle w:val="19"/>
        <w:spacing w:line="360" w:lineRule="auto"/>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2、若《残疾人福利性单位声明函》内容不真实，视为提供虚假材料。</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供应商：（全称并加盖单位公章）</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日期：    年   月   日</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w:t>
      </w:r>
    </w:p>
    <w:p>
      <w:pPr>
        <w:pStyle w:val="19"/>
        <w:spacing w:line="360" w:lineRule="auto"/>
        <w:jc w:val="center"/>
        <w:outlineLvl w:val="2"/>
        <w:rPr>
          <w:rFonts w:asciiTheme="minorEastAsia" w:hAnsiTheme="minorEastAsia" w:eastAsiaTheme="minorEastAsia" w:cstheme="minorEastAsia"/>
          <w:b/>
          <w:sz w:val="24"/>
          <w:szCs w:val="24"/>
        </w:rPr>
      </w:pPr>
    </w:p>
    <w:p>
      <w:pPr>
        <w:rPr>
          <w:rFonts w:asciiTheme="minorEastAsia" w:hAnsiTheme="minorEastAsia" w:cstheme="minorEastAsia"/>
          <w:b/>
          <w:sz w:val="24"/>
        </w:rPr>
      </w:pPr>
      <w:r>
        <w:rPr>
          <w:rFonts w:hint="eastAsia" w:asciiTheme="minorEastAsia" w:hAnsiTheme="minorEastAsia" w:cstheme="minorEastAsia"/>
          <w:b/>
          <w:sz w:val="24"/>
        </w:rPr>
        <w:br w:type="page"/>
      </w:r>
    </w:p>
    <w:p>
      <w:pPr>
        <w:pStyle w:val="19"/>
        <w:spacing w:line="360" w:lineRule="auto"/>
        <w:jc w:val="center"/>
        <w:outlineLvl w:val="2"/>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监狱企业证明材料（若有）</w:t>
      </w: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jc w:val="center"/>
        <w:outlineLvl w:val="2"/>
        <w:rPr>
          <w:rFonts w:asciiTheme="minorEastAsia" w:hAnsiTheme="minorEastAsia" w:eastAsiaTheme="minorEastAsia" w:cstheme="minorEastAsia"/>
          <w:bCs/>
          <w:sz w:val="24"/>
          <w:szCs w:val="24"/>
        </w:rPr>
      </w:pPr>
    </w:p>
    <w:p>
      <w:pPr>
        <w:pStyle w:val="19"/>
        <w:spacing w:line="360" w:lineRule="auto"/>
        <w:ind w:firstLine="480" w:firstLineChars="200"/>
        <w:jc w:val="left"/>
        <w:outlineLvl w:val="2"/>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供应商为监狱企业，提供本单位承接的服务，并在报价文件中提供省级以上监狱管理局、戒毒管理局（含新疆生产建设兵团）出具的属于监狱企业的证明文件。</w:t>
      </w: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pStyle w:val="19"/>
        <w:spacing w:line="360" w:lineRule="auto"/>
        <w:jc w:val="center"/>
        <w:outlineLvl w:val="2"/>
        <w:rPr>
          <w:rFonts w:asciiTheme="minorEastAsia" w:hAnsiTheme="minorEastAsia" w:eastAsiaTheme="minorEastAsia" w:cstheme="minorEastAsia"/>
          <w:b/>
          <w:sz w:val="24"/>
          <w:szCs w:val="24"/>
        </w:rPr>
      </w:pPr>
    </w:p>
    <w:p>
      <w:pPr>
        <w:rPr>
          <w:rFonts w:asciiTheme="minorEastAsia" w:hAnsiTheme="minorEastAsia" w:cstheme="minorEastAsia"/>
          <w:b/>
          <w:sz w:val="24"/>
        </w:rPr>
      </w:pPr>
      <w:r>
        <w:rPr>
          <w:rFonts w:hint="eastAsia" w:asciiTheme="minorEastAsia" w:hAnsiTheme="minorEastAsia" w:cstheme="minorEastAsia"/>
          <w:b/>
          <w:sz w:val="24"/>
        </w:rPr>
        <w:br w:type="page"/>
      </w:r>
    </w:p>
    <w:p>
      <w:pPr>
        <w:pStyle w:val="19"/>
        <w:spacing w:line="360" w:lineRule="auto"/>
        <w:jc w:val="center"/>
        <w:outlineLvl w:val="2"/>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2.报价书</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致：</w:t>
      </w:r>
      <w:r>
        <w:rPr>
          <w:rFonts w:hint="eastAsia" w:asciiTheme="minorEastAsia" w:hAnsiTheme="minorEastAsia" w:cstheme="minorEastAsia"/>
          <w:sz w:val="24"/>
          <w:u w:val="single"/>
        </w:rPr>
        <w:t xml:space="preserve"> 福州市公共资源交易服务中心       </w:t>
      </w:r>
    </w:p>
    <w:p>
      <w:pPr>
        <w:pStyle w:val="6"/>
        <w:spacing w:line="360" w:lineRule="auto"/>
        <w:ind w:firstLine="540" w:firstLineChars="225"/>
        <w:rPr>
          <w:rFonts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sz w:val="24"/>
          <w:szCs w:val="24"/>
        </w:rPr>
        <w:t>根据贵方为</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sz w:val="24"/>
          <w:szCs w:val="24"/>
        </w:rPr>
        <w:t>项目的报价邀请，本签字代表（全名、职务）正式授权并代表报价人提交纸质报价文件一份。</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据此函，签字代表宣布同意如下：</w:t>
      </w:r>
    </w:p>
    <w:p>
      <w:pPr>
        <w:numPr>
          <w:ilvl w:val="0"/>
          <w:numId w:val="3"/>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所附报价表中提交的应提供和交付的货物及服务报价：</w:t>
      </w:r>
      <w:r>
        <w:rPr>
          <w:rFonts w:hint="eastAsia" w:asciiTheme="minorEastAsia" w:hAnsiTheme="minorEastAsia" w:cstheme="minorEastAsia"/>
          <w:color w:val="333333"/>
          <w:sz w:val="24"/>
        </w:rPr>
        <w:t>福州市公共资源交易服务中心电子交易系统漏洞扫描和渗透测试服务项目</w:t>
      </w:r>
      <w:r>
        <w:rPr>
          <w:rFonts w:hint="eastAsia" w:asciiTheme="minorEastAsia" w:hAnsiTheme="minorEastAsia" w:cstheme="minorEastAsia"/>
          <w:sz w:val="24"/>
        </w:rPr>
        <w:t xml:space="preserve">人民币（小写）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，即 （大写）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（中文表述）；</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2.报价人已详细审查全部采购文件，包括修改文件（如有的话）和有关附件，将自行承担因对全部采购文件理解不正确或误解而产生的相应后果。</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3.报价人保证遵守采购文件的全部规定，报价人所提交的材料中所含的信息均为真实、准确、完整，且不具有任何误导性。</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4.报价人将按采购文件的规定履行合同责任和义务。</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5.本报价文件自报价日起报价有效期为：90个日历日的期限内保持有效。</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6.报价人同意提供按照贵方可能要求的与其报价有关的一切数据或资料，完全理解贵方不一定要接受最低的报价或收到的任何报价。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8. 与本报价有关的一切正式往来通讯请寄：</w:t>
      </w:r>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 xml:space="preserve">地址：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邮编： </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 xml:space="preserve">电话：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传真： </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 xml:space="preserve">报价人代表签章： </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报价人（全称并加盖公章）：</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 xml:space="preserve">日  期：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年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月 </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u w:val="single"/>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（报价文中个人签章应真实、有效。</w:t>
      </w:r>
      <w:r>
        <w:rPr>
          <w:rFonts w:hint="eastAsia" w:asciiTheme="minorEastAsia" w:hAnsiTheme="minorEastAsia" w:cstheme="minorEastAsia"/>
          <w:b/>
          <w:sz w:val="24"/>
        </w:rPr>
        <w:t>请各潜在报价人特别注意</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sectPr>
          <w:pgSz w:w="11907" w:h="16840"/>
          <w:pgMar w:top="1440" w:right="1701" w:bottom="1440" w:left="1701" w:header="851" w:footer="992" w:gutter="0"/>
          <w:cols w:space="720" w:num="1"/>
          <w:docGrid w:linePitch="323" w:charSpace="-2"/>
        </w:sectPr>
      </w:pPr>
    </w:p>
    <w:p>
      <w:pPr>
        <w:pStyle w:val="19"/>
        <w:spacing w:line="360" w:lineRule="auto"/>
        <w:jc w:val="center"/>
        <w:outlineLvl w:val="2"/>
        <w:rPr>
          <w:rFonts w:asciiTheme="minorEastAsia" w:hAnsiTheme="minorEastAsia" w:eastAsiaTheme="minorEastAsia" w:cstheme="minorEastAsia"/>
          <w:sz w:val="24"/>
          <w:szCs w:val="24"/>
        </w:rPr>
      </w:pPr>
      <w:bookmarkStart w:id="6" w:name="_Toc382570830"/>
      <w:bookmarkStart w:id="7" w:name="_Toc382571084"/>
      <w:bookmarkStart w:id="8" w:name="_Toc373327923"/>
      <w:bookmarkStart w:id="9" w:name="_Toc373327762"/>
      <w:r>
        <w:rPr>
          <w:rFonts w:hint="eastAsia" w:asciiTheme="minorEastAsia" w:hAnsiTheme="minorEastAsia" w:eastAsiaTheme="minorEastAsia" w:cstheme="minorEastAsia"/>
          <w:b/>
          <w:sz w:val="24"/>
          <w:szCs w:val="24"/>
        </w:rPr>
        <w:t>3.法定代表人授权书</w:t>
      </w:r>
      <w:bookmarkEnd w:id="6"/>
      <w:bookmarkEnd w:id="7"/>
      <w:bookmarkEnd w:id="8"/>
      <w:bookmarkEnd w:id="9"/>
    </w:p>
    <w:p>
      <w:pPr>
        <w:spacing w:line="360" w:lineRule="auto"/>
        <w:rPr>
          <w:rFonts w:asciiTheme="minorEastAsia" w:hAnsiTheme="minorEastAsia" w:cstheme="minorEastAsia"/>
          <w:sz w:val="24"/>
        </w:rPr>
      </w:pPr>
      <w:r>
        <w:rPr>
          <w:rFonts w:hint="eastAsia" w:asciiTheme="minorEastAsia" w:hAnsiTheme="minorEastAsia" w:cstheme="minorEastAsia"/>
          <w:sz w:val="24"/>
          <w:u w:val="single"/>
        </w:rPr>
        <w:t xml:space="preserve">  致 福州市公共资源交易服务中心  </w:t>
      </w:r>
      <w:r>
        <w:rPr>
          <w:rFonts w:hint="eastAsia" w:asciiTheme="minorEastAsia" w:hAnsiTheme="minorEastAsia" w:cstheme="minorEastAsia"/>
          <w:sz w:val="24"/>
        </w:rPr>
        <w:t>：</w:t>
      </w:r>
    </w:p>
    <w:p>
      <w:pPr>
        <w:pStyle w:val="6"/>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（报价人全称）</w:t>
      </w: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（报价人代表姓名）为报价人代表，代表本公司参加贵中心组织的</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sz w:val="24"/>
          <w:szCs w:val="24"/>
        </w:rPr>
        <w:t>项目比价活动，全权代表本公司处理报价过程的一切事宜，包括但不限于：报价、比价、签约等。报价人代表在报价过程中所签署的一切文件和处理与之有关的一切事务，本公司均予以认可并对此承担责任。报价人代表无转委权。特此授权。</w:t>
      </w:r>
    </w:p>
    <w:p>
      <w:pPr>
        <w:pStyle w:val="6"/>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本授权书自出具之日起生效。</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报价人代表：</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性别：</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身份证号：</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单位：</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部门：</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职务：</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详细通讯地址：</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w:t>
      </w:r>
      <w:r>
        <w:rPr>
          <w:rFonts w:hint="eastAsia" w:asciiTheme="minorEastAsia" w:hAnsiTheme="minorEastAsia" w:cstheme="minorEastAsia"/>
          <w:bCs/>
          <w:sz w:val="24"/>
        </w:rPr>
        <w:t xml:space="preserve"> </w:t>
      </w:r>
      <w:r>
        <w:rPr>
          <w:rFonts w:hint="eastAsia" w:asciiTheme="minorEastAsia" w:hAnsiTheme="minorEastAsia" w:cstheme="minorEastAsia"/>
          <w:sz w:val="24"/>
        </w:rPr>
        <w:t>邮政编码:</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电话：</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（报价人代表应为报价公司的正式工作人员，否则视为无效报价。）</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[身份证件复印件]</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法定代表人、报价人代表身份证件复印件正反面：</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授权方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报价人（全称并加盖公章）：</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法定代表人签章：</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日     期：</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接受授权方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报价人代表签章：</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日     期：</w:t>
      </w:r>
      <w:r>
        <w:rPr>
          <w:rFonts w:hint="eastAsia" w:asciiTheme="minorEastAsia" w:hAnsiTheme="minorEastAsia" w:cstheme="minorEastAsia"/>
          <w:sz w:val="24"/>
          <w:u w:val="single"/>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rPr>
        <w:t>（报价文中个人签章应真实、有效。</w:t>
      </w:r>
      <w:r>
        <w:rPr>
          <w:rFonts w:hint="eastAsia" w:asciiTheme="minorEastAsia" w:hAnsiTheme="minorEastAsia" w:cstheme="minorEastAsia"/>
          <w:b/>
          <w:sz w:val="24"/>
        </w:rPr>
        <w:t>请各潜在报价人特别注意</w:t>
      </w:r>
      <w:r>
        <w:rPr>
          <w:rFonts w:hint="eastAsia" w:asciiTheme="minorEastAsia" w:hAnsiTheme="minorEastAsia" w:cstheme="minorEastAsia"/>
          <w:sz w:val="24"/>
        </w:rPr>
        <w:t>。）</w:t>
      </w:r>
      <w:bookmarkEnd w:id="0"/>
      <w:bookmarkEnd w:id="1"/>
      <w:bookmarkEnd w:id="2"/>
      <w:bookmarkEnd w:id="3"/>
      <w:bookmarkEnd w:id="4"/>
      <w:bookmarkEnd w:id="5"/>
    </w:p>
    <w:p>
      <w:pPr>
        <w:pStyle w:val="19"/>
        <w:spacing w:line="360" w:lineRule="auto"/>
        <w:jc w:val="center"/>
        <w:outlineLvl w:val="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sz w:val="24"/>
          <w:szCs w:val="24"/>
        </w:rPr>
        <w:t>4.法人营业执照</w:t>
      </w:r>
      <w:r>
        <w:rPr>
          <w:rFonts w:hint="eastAsia" w:asciiTheme="minorEastAsia" w:hAnsiTheme="minorEastAsia" w:eastAsiaTheme="minorEastAsia" w:cstheme="minorEastAsia"/>
          <w:sz w:val="24"/>
          <w:szCs w:val="24"/>
        </w:rPr>
        <w:t>等资格证明文件</w:t>
      </w:r>
    </w:p>
    <w:p>
      <w:pPr>
        <w:spacing w:line="360" w:lineRule="auto"/>
        <w:ind w:firstLine="480" w:firstLineChars="200"/>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u w:val="single"/>
        </w:rPr>
        <w:t>致 福州市公共资源交易服务中心</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现附上由</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（签发机关名称）签发的我方法人具有统一社会信用代码的营业执照副本复印件，该执照业合格真实有效。</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（注：需复印包括能说明合格有效的内容，由企业加盖公章并注明复印件与原件一致。）</w:t>
      </w:r>
    </w:p>
    <w:p>
      <w:pPr>
        <w:spacing w:line="360" w:lineRule="auto"/>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报 价 人（全称并加盖公章）：</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报价人代表签章：</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日      期：</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（报价文中个人签章应真实、有效。</w:t>
      </w:r>
      <w:r>
        <w:rPr>
          <w:rFonts w:hint="eastAsia" w:asciiTheme="minorEastAsia" w:hAnsiTheme="minorEastAsia" w:cstheme="minorEastAsia"/>
          <w:b/>
          <w:sz w:val="24"/>
        </w:rPr>
        <w:t>请各潜在报价人特别注意</w:t>
      </w:r>
      <w:r>
        <w:rPr>
          <w:rFonts w:hint="eastAsia" w:asciiTheme="minorEastAsia" w:hAnsiTheme="minorEastAsia" w:cstheme="minorEastAsia"/>
          <w:sz w:val="24"/>
        </w:rPr>
        <w:t>。）</w:t>
      </w:r>
    </w:p>
    <w:p>
      <w:pPr>
        <w:spacing w:line="360" w:lineRule="auto"/>
        <w:rPr>
          <w:rFonts w:asciiTheme="minorEastAsia" w:hAnsiTheme="minorEastAsia" w:cstheme="minorEastAsia"/>
          <w:sz w:val="24"/>
        </w:rPr>
      </w:pPr>
    </w:p>
    <w:p>
      <w:pPr>
        <w:spacing w:line="360" w:lineRule="auto"/>
        <w:jc w:val="center"/>
        <w:rPr>
          <w:rFonts w:asciiTheme="minorEastAsia" w:hAnsiTheme="minorEastAsia" w:cstheme="minorEastAsia"/>
          <w:color w:val="000000"/>
          <w:kern w:val="0"/>
          <w:sz w:val="24"/>
        </w:rPr>
      </w:pPr>
    </w:p>
    <w:p>
      <w:pPr>
        <w:spacing w:line="360" w:lineRule="auto"/>
        <w:jc w:val="center"/>
        <w:rPr>
          <w:rFonts w:asciiTheme="minorEastAsia" w:hAnsiTheme="minorEastAsia" w:cstheme="minorEastAsia"/>
          <w:color w:val="000000"/>
          <w:kern w:val="0"/>
          <w:sz w:val="24"/>
        </w:rPr>
      </w:pPr>
    </w:p>
    <w:p>
      <w:pPr>
        <w:spacing w:line="360" w:lineRule="auto"/>
        <w:jc w:val="center"/>
        <w:rPr>
          <w:rFonts w:asciiTheme="minorEastAsia" w:hAnsiTheme="minorEastAsia" w:cstheme="minorEastAsia"/>
          <w:color w:val="000000"/>
          <w:kern w:val="0"/>
          <w:sz w:val="24"/>
        </w:rPr>
      </w:pPr>
    </w:p>
    <w:p>
      <w:pPr>
        <w:pStyle w:val="19"/>
        <w:spacing w:line="360" w:lineRule="auto"/>
        <w:jc w:val="center"/>
        <w:outlineLvl w:val="2"/>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color w:val="000000"/>
          <w:kern w:val="0"/>
          <w:sz w:val="24"/>
          <w:szCs w:val="24"/>
        </w:rPr>
        <w:br w:type="page"/>
      </w:r>
      <w:r>
        <w:rPr>
          <w:rFonts w:hint="eastAsia" w:asciiTheme="minorEastAsia" w:hAnsiTheme="minorEastAsia" w:eastAsiaTheme="minorEastAsia" w:cstheme="minorEastAsia"/>
          <w:b/>
          <w:sz w:val="24"/>
          <w:szCs w:val="24"/>
        </w:rPr>
        <w:t>5.报价人的资格声明</w:t>
      </w:r>
    </w:p>
    <w:p>
      <w:pPr>
        <w:pStyle w:val="19"/>
        <w:spacing w:line="360" w:lineRule="auto"/>
        <w:jc w:val="center"/>
        <w:outlineLvl w:val="2"/>
        <w:rPr>
          <w:rFonts w:asciiTheme="minorEastAsia" w:hAnsiTheme="minorEastAsia" w:eastAsiaTheme="minorEastAsia" w:cstheme="minorEastAsia"/>
          <w:b/>
          <w:sz w:val="24"/>
          <w:szCs w:val="24"/>
        </w:rPr>
      </w:pPr>
    </w:p>
    <w:p>
      <w:pPr>
        <w:spacing w:line="360" w:lineRule="auto"/>
        <w:rPr>
          <w:rFonts w:asciiTheme="minorEastAsia" w:hAnsiTheme="minorEastAsia" w:cstheme="minorEastAsia"/>
          <w:sz w:val="24"/>
          <w:u w:val="single"/>
        </w:rPr>
      </w:pPr>
      <w:r>
        <w:rPr>
          <w:rFonts w:hint="eastAsia" w:asciiTheme="minorEastAsia" w:hAnsiTheme="minorEastAsia" w:cstheme="minorEastAsia"/>
          <w:sz w:val="24"/>
          <w:u w:val="single"/>
        </w:rPr>
        <w:t>致 福州市公共资源交易服务中心：</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我方在此声明：我方具备并满足下列各项条款的规定，本声明如有虚假或不实之处，我方将失去合格报价人资格且我方承担由此引起的一切法律责任。</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（1）具有独立承担民事责任的能力；</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（2）具有良好的商业信誉和健全的财务会计制度；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（3）具有履行合同所必需的设备和专业技术能力；</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（4）有依法缴纳税收和社会保障资金的良好记录；</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（5）参加政府采购活动前三年内，在经营活动中没有重大违法记录；</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（6）报价人代表为我公司的正式工作人员；</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（7）参加政府采购活动近三年无行贿犯罪记录；</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（8）信用记录无任何应被拒绝参与政府采购活动的相关信息 (如列入失信被执行人、重大税收违法案件当事人名单、政府采购严重违法失信行为记录名单或其他不符合《中华人民共和国政府采购法》第二十二条规定条件的问题等情况)；</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（9）法律、行政法规规定的其他条件。</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就我方全部所知，兹证明上述声明是真实、准确的，并已提供了全部现有资料和数据，我方同意根据贵方要求出示文件予以证实。</w:t>
      </w:r>
    </w:p>
    <w:p>
      <w:pPr>
        <w:spacing w:line="360" w:lineRule="auto"/>
        <w:ind w:firstLine="480" w:firstLineChars="200"/>
        <w:jc w:val="right"/>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报价人（全称并加盖公章）：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报价人代表签章：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日      期：            </w:t>
      </w:r>
    </w:p>
    <w:p>
      <w:pPr>
        <w:spacing w:line="360" w:lineRule="auto"/>
        <w:jc w:val="center"/>
        <w:rPr>
          <w:rFonts w:asciiTheme="minorEastAsia" w:hAnsiTheme="minorEastAsia" w:cstheme="minorEastAsia"/>
          <w:sz w:val="24"/>
        </w:rPr>
      </w:pPr>
    </w:p>
    <w:p>
      <w:pPr>
        <w:spacing w:line="360" w:lineRule="auto"/>
        <w:jc w:val="center"/>
        <w:rPr>
          <w:rFonts w:ascii="仿宋" w:hAnsi="仿宋" w:eastAsia="仿宋" w:cs="宋体fal"/>
          <w:color w:val="000000"/>
          <w:kern w:val="0"/>
          <w:sz w:val="28"/>
          <w:szCs w:val="28"/>
        </w:rPr>
      </w:pPr>
    </w:p>
    <w:p>
      <w:pPr>
        <w:spacing w:line="360" w:lineRule="auto"/>
        <w:jc w:val="center"/>
        <w:rPr>
          <w:rFonts w:asciiTheme="minorEastAsia" w:hAnsiTheme="minorEastAsia" w:cstheme="minorEastAsia"/>
          <w:bCs/>
          <w:sz w:val="24"/>
        </w:rPr>
      </w:pPr>
      <w:r>
        <w:rPr>
          <w:rFonts w:ascii="仿宋" w:hAnsi="仿宋" w:eastAsia="仿宋" w:cs="宋体fal"/>
          <w:color w:val="000000"/>
          <w:kern w:val="0"/>
          <w:sz w:val="28"/>
          <w:szCs w:val="28"/>
        </w:rPr>
        <w:br w:type="page"/>
      </w:r>
      <w:r>
        <w:rPr>
          <w:rFonts w:hint="eastAsia" w:asciiTheme="minorEastAsia" w:hAnsiTheme="minorEastAsia" w:cstheme="minorEastAsia"/>
          <w:b/>
          <w:sz w:val="24"/>
        </w:rPr>
        <w:t>6.响应部分</w:t>
      </w:r>
      <w:r>
        <w:rPr>
          <w:rFonts w:hint="eastAsia" w:asciiTheme="minorEastAsia" w:hAnsiTheme="minorEastAsia" w:cstheme="minorEastAsia"/>
          <w:bCs/>
          <w:sz w:val="24"/>
        </w:rPr>
        <w:t xml:space="preserve"> </w:t>
      </w:r>
    </w:p>
    <w:p>
      <w:pPr>
        <w:spacing w:line="360" w:lineRule="auto"/>
        <w:jc w:val="center"/>
        <w:rPr>
          <w:rFonts w:asciiTheme="minorEastAsia" w:hAnsiTheme="minorEastAsia" w:cstheme="minorEastAsia"/>
          <w:bCs/>
          <w:sz w:val="24"/>
        </w:rPr>
      </w:pPr>
      <w:r>
        <w:rPr>
          <w:rFonts w:hint="eastAsia" w:asciiTheme="minorEastAsia" w:hAnsiTheme="minorEastAsia" w:cstheme="minorEastAsia"/>
          <w:bCs/>
          <w:sz w:val="24"/>
        </w:rPr>
        <w:t>技术和服务要求响应表</w:t>
      </w:r>
    </w:p>
    <w:p>
      <w:pPr>
        <w:pStyle w:val="10"/>
        <w:widowControl/>
        <w:shd w:val="clear" w:color="auto" w:fill="FFFFFF"/>
        <w:spacing w:beforeAutospacing="0" w:afterAutospacing="0" w:line="360" w:lineRule="auto"/>
        <w:ind w:left="1200" w:hanging="1200" w:hangingChars="500"/>
        <w:rPr>
          <w:rFonts w:asciiTheme="minorEastAsia" w:hAnsiTheme="minorEastAsia" w:cstheme="minorEastAsia"/>
          <w:color w:val="000000"/>
        </w:rPr>
      </w:pPr>
      <w:r>
        <w:rPr>
          <w:rFonts w:hint="eastAsia" w:asciiTheme="minorEastAsia" w:hAnsiTheme="minorEastAsia" w:cstheme="minorEastAsia"/>
        </w:rPr>
        <w:t>项目名称：福州市公共资源交易服务中心电子交易系统漏洞扫描及渗透测试服务项目</w:t>
      </w:r>
    </w:p>
    <w:tbl>
      <w:tblPr>
        <w:tblStyle w:val="12"/>
        <w:tblpPr w:leftFromText="180" w:rightFromText="180" w:vertAnchor="text" w:horzAnchor="page" w:tblpX="1455" w:tblpY="30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品目号</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品目编码及品目名称</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商品名称</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技术规格、服务及验收要求</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响应情况</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1</w:t>
            </w:r>
          </w:p>
        </w:tc>
        <w:tc>
          <w:tcPr>
            <w:tcW w:w="834" w:type="dxa"/>
            <w:vMerge w:val="restart"/>
            <w:tcBorders>
              <w:top w:val="single" w:color="auto" w:sz="4" w:space="0"/>
              <w:left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sz w:val="24"/>
              </w:rPr>
              <w:t>[C16990000]其他信息技术服</w:t>
            </w:r>
          </w:p>
        </w:tc>
        <w:tc>
          <w:tcPr>
            <w:tcW w:w="1191" w:type="dxa"/>
            <w:vMerge w:val="restart"/>
            <w:tcBorders>
              <w:top w:val="single" w:color="auto" w:sz="4" w:space="0"/>
              <w:left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sz w:val="24"/>
              </w:rPr>
              <w:t>福州市公共资源交易服务中心电子交易系统漏洞扫描及渗透测试服务</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sz w:val="24"/>
              </w:rPr>
              <w:t>1.</w:t>
            </w:r>
            <w:r>
              <w:rPr>
                <w:rFonts w:hint="eastAsia" w:asciiTheme="minorEastAsia" w:hAnsiTheme="minorEastAsia" w:cstheme="minorEastAsia"/>
                <w:color w:val="333333"/>
                <w:sz w:val="24"/>
              </w:rPr>
              <w:t>福州市公共资源电子交易平台（旧政务云26台服务器）：在2024年度进行≥3次安全漏洞扫描服务</w:t>
            </w:r>
            <w:r>
              <w:rPr>
                <w:rFonts w:hint="eastAsia" w:asciiTheme="minorEastAsia" w:hAnsiTheme="minorEastAsia" w:cstheme="minorEastAsia"/>
                <w:color w:val="333333"/>
                <w:kern w:val="0"/>
                <w:sz w:val="24"/>
                <w:lang w:bidi="ar"/>
              </w:rPr>
              <w:t>（</w:t>
            </w:r>
            <w:r>
              <w:rPr>
                <w:rFonts w:hint="eastAsia" w:asciiTheme="minorEastAsia" w:hAnsiTheme="minorEastAsia" w:cstheme="minorEastAsia"/>
                <w:color w:val="333333"/>
                <w:sz w:val="24"/>
              </w:rPr>
              <w:t>原则上2024年第2、3、4季度各一次，采购人有特别要求的除外），2025年度进行1次安全漏洞扫描服务（原则上2025年第1季度完成，采购人有特别要求的除外）。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color w:val="333333"/>
                <w:sz w:val="24"/>
              </w:rPr>
              <w:t>2.福州市公共资源电子交易平台（旧政务云26台服务器）：在2024年度进行≥3次渗透测试服务</w:t>
            </w:r>
            <w:r>
              <w:rPr>
                <w:rFonts w:hint="eastAsia" w:asciiTheme="minorEastAsia" w:hAnsiTheme="minorEastAsia" w:cstheme="minorEastAsia"/>
                <w:color w:val="333333"/>
                <w:kern w:val="0"/>
                <w:sz w:val="24"/>
                <w:lang w:bidi="ar"/>
              </w:rPr>
              <w:t>（</w:t>
            </w:r>
            <w:r>
              <w:rPr>
                <w:rFonts w:hint="eastAsia" w:asciiTheme="minorEastAsia" w:hAnsiTheme="minorEastAsia" w:cstheme="minorEastAsia"/>
                <w:color w:val="333333"/>
                <w:sz w:val="24"/>
              </w:rPr>
              <w:t>原则上2024年第2、3、4季度各一次，采购人有特别要求的除外），2025年度进行1次渗透测试服务（原则上2025年第1季度完成，采购人有特别要求的除外）。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sz w:val="24"/>
              </w:rPr>
              <w:t>3.</w:t>
            </w:r>
            <w:r>
              <w:rPr>
                <w:rFonts w:hint="eastAsia" w:asciiTheme="minorEastAsia" w:hAnsiTheme="minorEastAsia" w:cstheme="minorEastAsia"/>
                <w:color w:val="333333"/>
                <w:sz w:val="24"/>
              </w:rPr>
              <w:t>福州市建设工程电子招投标系统（新政务云32台服务器）：在2024年度进行≥3次安全漏洞扫描服务</w:t>
            </w:r>
            <w:r>
              <w:rPr>
                <w:rFonts w:hint="eastAsia" w:asciiTheme="minorEastAsia" w:hAnsiTheme="minorEastAsia" w:cstheme="minorEastAsia"/>
                <w:color w:val="333333"/>
                <w:kern w:val="0"/>
                <w:sz w:val="24"/>
                <w:lang w:bidi="ar"/>
              </w:rPr>
              <w:t>（</w:t>
            </w:r>
            <w:r>
              <w:rPr>
                <w:rFonts w:hint="eastAsia" w:asciiTheme="minorEastAsia" w:hAnsiTheme="minorEastAsia" w:cstheme="minorEastAsia"/>
                <w:color w:val="333333"/>
                <w:sz w:val="24"/>
              </w:rPr>
              <w:t>原则上2024年第2、3、4季度各一次，采购人有特别要求的除外），2025年度进行1次安全漏洞扫描服务（原则上2025年第1季度完成，采购人有特别要求的除外）。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4、</w:t>
            </w:r>
            <w:r>
              <w:rPr>
                <w:rFonts w:hint="eastAsia" w:asciiTheme="minorEastAsia" w:hAnsiTheme="minorEastAsia" w:cstheme="minorEastAsia"/>
                <w:color w:val="333333"/>
                <w:sz w:val="24"/>
              </w:rPr>
              <w:t>福州市建设工程电子招投标系统（新政务云32台服务器）：在2024年度进行≥3次渗透测试服务</w:t>
            </w:r>
            <w:r>
              <w:rPr>
                <w:rFonts w:hint="eastAsia" w:asciiTheme="minorEastAsia" w:hAnsiTheme="minorEastAsia" w:cstheme="minorEastAsia"/>
                <w:color w:val="333333"/>
                <w:kern w:val="0"/>
                <w:sz w:val="24"/>
                <w:lang w:bidi="ar"/>
              </w:rPr>
              <w:t>（</w:t>
            </w:r>
            <w:r>
              <w:rPr>
                <w:rFonts w:hint="eastAsia" w:asciiTheme="minorEastAsia" w:hAnsiTheme="minorEastAsia" w:cstheme="minorEastAsia"/>
                <w:color w:val="333333"/>
                <w:sz w:val="24"/>
              </w:rPr>
              <w:t>原则上2024年第2、3、4季度各一次，采购人有特别要求的除外），2025年度进行1次渗透测试服务（原则上2025年第1季度完成，采购人有特别要求的除外）。</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sz w:val="24"/>
              </w:rPr>
              <w:t>5.</w:t>
            </w:r>
            <w:r>
              <w:rPr>
                <w:rFonts w:hint="eastAsia" w:asciiTheme="minorEastAsia" w:hAnsiTheme="minorEastAsia" w:cstheme="minorEastAsia"/>
                <w:color w:val="333333"/>
                <w:sz w:val="24"/>
              </w:rPr>
              <w:t>服务要求内容见附表。</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6.</w:t>
            </w:r>
            <w:r>
              <w:rPr>
                <w:rFonts w:hint="eastAsia" w:asciiTheme="minorEastAsia" w:hAnsiTheme="minorEastAsia" w:cstheme="minorEastAsia"/>
                <w:color w:val="333333"/>
                <w:sz w:val="24"/>
              </w:rPr>
              <w:t>按政府部门制定的相关规范、技术要求交付符合采购人要求的完整材料，并通过政府部门要求的系统安全绩效考核。项目工作成果应符合采购人的保密要求。</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7.</w:t>
            </w:r>
            <w:r>
              <w:rPr>
                <w:rFonts w:hint="eastAsia" w:asciiTheme="minorEastAsia" w:hAnsiTheme="minorEastAsia" w:cstheme="minorEastAsia"/>
                <w:color w:val="333333"/>
                <w:sz w:val="24"/>
                <w:shd w:val="clear" w:color="auto" w:fill="FFFFFF"/>
              </w:rPr>
              <w:t>交付时间： 合同签订之日起一年内。</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bl>
    <w:p>
      <w:pPr>
        <w:widowControl/>
        <w:spacing w:line="360" w:lineRule="auto"/>
        <w:ind w:right="508" w:rightChars="242"/>
        <w:rPr>
          <w:rFonts w:asciiTheme="minorEastAsia" w:hAnsiTheme="minorEastAsia" w:cstheme="minorEastAsia"/>
          <w:color w:val="000000"/>
          <w:kern w:val="0"/>
          <w:sz w:val="24"/>
        </w:rPr>
      </w:pPr>
    </w:p>
    <w:p>
      <w:pPr>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注：1、响应情况项下应填写具体的响应内容并与“</w:t>
      </w:r>
      <w:r>
        <w:rPr>
          <w:rFonts w:hint="eastAsia" w:asciiTheme="minorEastAsia" w:hAnsiTheme="minorEastAsia" w:cstheme="minorEastAsia"/>
          <w:sz w:val="24"/>
        </w:rPr>
        <w:t>技术规格、服务及验收要求</w:t>
      </w:r>
      <w:r>
        <w:rPr>
          <w:rFonts w:hint="eastAsia" w:asciiTheme="minorEastAsia" w:hAnsiTheme="minorEastAsia" w:cstheme="minorEastAsia"/>
          <w:kern w:val="0"/>
          <w:sz w:val="24"/>
        </w:rPr>
        <w:t>”项下的内容逐项对应；2、对“</w:t>
      </w:r>
      <w:r>
        <w:rPr>
          <w:rFonts w:hint="eastAsia" w:asciiTheme="minorEastAsia" w:hAnsiTheme="minorEastAsia" w:cstheme="minorEastAsia"/>
          <w:sz w:val="24"/>
        </w:rPr>
        <w:t>技术规格、服务及验收要求</w:t>
      </w:r>
      <w:r>
        <w:rPr>
          <w:rFonts w:hint="eastAsia" w:asciiTheme="minorEastAsia" w:hAnsiTheme="minorEastAsia" w:cstheme="minorEastAsia"/>
          <w:kern w:val="0"/>
          <w:sz w:val="24"/>
        </w:rPr>
        <w:t>”项下涉及“≥或&gt;“、”≤或&lt;”及某个区间值范围内的内容，应填写具体的数值。3、投标人需要说明的内容若需特殊表达，应先在本表中进行相应说明，再另页应答，否则报价无效。</w:t>
      </w:r>
    </w:p>
    <w:p>
      <w:pPr>
        <w:pStyle w:val="10"/>
        <w:widowControl/>
        <w:shd w:val="clear" w:color="auto" w:fill="FFFFFF"/>
        <w:spacing w:beforeAutospacing="0" w:afterAutospacing="0" w:line="360" w:lineRule="auto"/>
        <w:rPr>
          <w:rStyle w:val="15"/>
          <w:rFonts w:asciiTheme="minorEastAsia" w:hAnsiTheme="minorEastAsia" w:cstheme="minorEastAsia"/>
          <w:b w:val="0"/>
          <w:color w:val="333333"/>
          <w:shd w:val="clear" w:color="auto" w:fill="FFFFFF"/>
        </w:rPr>
      </w:pPr>
    </w:p>
    <w:p>
      <w:pPr>
        <w:rPr>
          <w:rStyle w:val="15"/>
          <w:rFonts w:asciiTheme="minorEastAsia" w:hAnsiTheme="minorEastAsia" w:cstheme="minorEastAsia"/>
          <w:b w:val="0"/>
          <w:color w:val="333333"/>
          <w:sz w:val="24"/>
          <w:shd w:val="clear" w:color="auto" w:fill="FFFFFF"/>
        </w:rPr>
      </w:pPr>
      <w:r>
        <w:rPr>
          <w:rStyle w:val="15"/>
          <w:rFonts w:hint="eastAsia" w:asciiTheme="minorEastAsia" w:hAnsiTheme="minorEastAsia" w:cstheme="minorEastAsia"/>
          <w:b w:val="0"/>
          <w:color w:val="333333"/>
          <w:sz w:val="24"/>
          <w:shd w:val="clear" w:color="auto" w:fill="FFFFFF"/>
        </w:rPr>
        <w:br w:type="page"/>
      </w:r>
    </w:p>
    <w:p>
      <w:pPr>
        <w:pStyle w:val="10"/>
        <w:widowControl/>
        <w:shd w:val="clear" w:color="auto" w:fill="FFFFFF"/>
        <w:spacing w:beforeAutospacing="0" w:afterAutospacing="0" w:line="360" w:lineRule="auto"/>
        <w:rPr>
          <w:rStyle w:val="15"/>
          <w:rFonts w:asciiTheme="minorEastAsia" w:hAnsiTheme="minorEastAsia" w:cstheme="minorEastAsia"/>
          <w:b w:val="0"/>
          <w:color w:val="333333"/>
          <w:shd w:val="clear" w:color="auto" w:fill="FFFFFF"/>
        </w:rPr>
      </w:pPr>
      <w:r>
        <w:rPr>
          <w:rStyle w:val="15"/>
          <w:rFonts w:hint="eastAsia" w:asciiTheme="minorEastAsia" w:hAnsiTheme="minorEastAsia" w:cstheme="minorEastAsia"/>
          <w:b w:val="0"/>
          <w:color w:val="333333"/>
          <w:shd w:val="clear" w:color="auto" w:fill="FFFFFF"/>
        </w:rPr>
        <w:t>附表：</w:t>
      </w: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18"/>
        <w:gridCol w:w="3288"/>
        <w:gridCol w:w="1228"/>
        <w:gridCol w:w="1407"/>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序号</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服务项目</w:t>
            </w:r>
          </w:p>
        </w:tc>
        <w:tc>
          <w:tcPr>
            <w:tcW w:w="3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服务内容</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交付成果</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服务频次</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漏洞扫描</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（1）针对内部主机如：服务器、操作系统、网络设备与数据库扫描；</w:t>
            </w:r>
          </w:p>
          <w:p>
            <w:pPr>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szCs w:val="21"/>
              </w:rPr>
              <w:t>（2）针对业务系统开展现场或远程扫描。</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漏洞扫描报告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w:t>
            </w:r>
            <w:r>
              <w:rPr>
                <w:rFonts w:hint="eastAsia" w:asciiTheme="minorEastAsia" w:hAnsiTheme="minorEastAsia" w:cstheme="minorEastAsia"/>
                <w:szCs w:val="21"/>
              </w:rPr>
              <w:t>2024年第2、3、4季度各一次，2025年第1季度一次</w:t>
            </w:r>
            <w:r>
              <w:rPr>
                <w:rFonts w:hint="eastAsia" w:asciiTheme="minorEastAsia" w:hAnsiTheme="minorEastAsia" w:cstheme="minorEastAsia"/>
                <w:color w:val="000000"/>
                <w:kern w:val="0"/>
                <w:szCs w:val="21"/>
              </w:rPr>
              <w:t>）</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渗透测试</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利用目标应用系统的安全弱点模拟真正的黑客入侵攻击方法，以人工渗透为主，以漏洞扫描工具为辅。</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渗透测试报告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w:t>
            </w:r>
            <w:r>
              <w:rPr>
                <w:rFonts w:hint="eastAsia" w:asciiTheme="minorEastAsia" w:hAnsiTheme="minorEastAsia" w:cstheme="minorEastAsia"/>
                <w:szCs w:val="21"/>
              </w:rPr>
              <w:t>2024年第2、3、4季度各一次，2025年第1季度一次</w:t>
            </w:r>
            <w:r>
              <w:rPr>
                <w:rFonts w:hint="eastAsia" w:asciiTheme="minorEastAsia" w:hAnsiTheme="minorEastAsia" w:cstheme="minorEastAsia"/>
                <w:color w:val="000000"/>
                <w:kern w:val="0"/>
                <w:szCs w:val="21"/>
              </w:rPr>
              <w:t>）</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协助安全加固</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安全加固（包含软件应用基线、数据库基线、中间件基线、操作系统基线等), 安全加固服务采用“人工+工具”加固方式，即通过安全基线检查和安全策略修复，并结合第三方安全加固工具实现对操作系统的全面安全增强, 1)安全加固工具支持内核级的强制访问控制功能，支持基于敏感标记(安全等级)控制文件读写权限（提供对应工具功能截图）2)安全加固工具支持白名单功能，只有属于白名单的进程可以运行，可以有效禁止病毒或木马的执行。（提供对应工具功能截图）3)安全加固工具支持基于MD5的识别技术的文件完整性检查功能，可对文件进行资源完整性监控。（提供对应工具功能截图）4)安全加固工具支持基线检查功能，能对常见的系统脆弱性进行一键扫描和加固修复。（提供对应工具功能截图）5)安全加固工具支持服务器的非法外联管控，避免服务器私自连接外部网络。（提供对应工具功能截图）6)安全加固工具支持外接USB设备的管控，可对接入的第三方USB设备进行控制，防止物理层面的非法接入行为。（提供对应工具功能截图）7）安全加固工具具有中国网络安全审查技术与认证中心颁发的IT产品信息安全认证证书，满足“ISCCC-TR-001-2017《操作系统安全加固产品安全技术要求》（增强级）”相关产品标准及技术要求。（提供对应工具证书复印件证明）</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安全咨询相关内容</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制度建设辅导</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采购人完善现有安全管理制度，按照等级保护管理部分的标准，从安全管理制度、安全管理机构、人员安全管理、系统建设管理、系统运维管理5个方面协助采购人补充及完善等级保护要求的管理体系建设中涉及到的制度文档，以及相关记录的完善。</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安全管理制度汇编</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入侵痕迹排查</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对中心部署在本地及云平台上的服务器操作系统和应用的运行环境进行入侵痕迹的安全检查，包括可疑的文件、服务、进程、端口、网络连接、网站WebShell后门等，综合评估当前系统运行环境安全情况，生产入侵痕迹检测报告，并提出安全修复建议</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《入侵清查报告》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安全防护设备租赁及演练</w:t>
            </w:r>
          </w:p>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支撑</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2"/>
              </w:numPr>
              <w:adjustRightInd w:val="0"/>
              <w:spacing w:line="360" w:lineRule="auto"/>
              <w:rPr>
                <w:rFonts w:asciiTheme="minorEastAsia" w:hAnsiTheme="minorEastAsia" w:cstheme="minorEastAsia"/>
                <w:szCs w:val="21"/>
              </w:rPr>
            </w:pPr>
            <w:r>
              <w:rPr>
                <w:rFonts w:hint="eastAsia" w:asciiTheme="minorEastAsia" w:hAnsiTheme="minorEastAsia" w:cstheme="minorEastAsia"/>
                <w:color w:val="000000"/>
                <w:kern w:val="0"/>
                <w:szCs w:val="21"/>
              </w:rPr>
              <w:t>在网络安全监管部门举办的攻防演练期间租赁包括下一代防火墙（</w:t>
            </w:r>
            <w:r>
              <w:rPr>
                <w:rFonts w:ascii="宋体" w:hAnsi="宋体" w:eastAsia="宋体" w:cs="宋体"/>
                <w:color w:val="000000"/>
                <w:sz w:val="24"/>
              </w:rPr>
              <w:t>≥</w:t>
            </w:r>
            <w:r>
              <w:rPr>
                <w:rFonts w:hint="eastAsia" w:asciiTheme="minorEastAsia" w:hAnsiTheme="minorEastAsia" w:cstheme="minorEastAsia"/>
                <w:color w:val="000000"/>
                <w:kern w:val="0"/>
                <w:szCs w:val="21"/>
              </w:rPr>
              <w:t>3台，要求具备入侵防御、网络防病毒功能）、高级持续性威胁检测设备(APT)（</w:t>
            </w:r>
            <w:r>
              <w:rPr>
                <w:rFonts w:ascii="宋体" w:hAnsi="宋体" w:eastAsia="宋体" w:cs="宋体"/>
                <w:color w:val="000000"/>
                <w:sz w:val="24"/>
              </w:rPr>
              <w:t>≥</w:t>
            </w:r>
            <w:r>
              <w:rPr>
                <w:rFonts w:hint="eastAsia" w:asciiTheme="minorEastAsia" w:hAnsiTheme="minorEastAsia" w:cstheme="minorEastAsia"/>
                <w:color w:val="000000"/>
                <w:kern w:val="0"/>
                <w:szCs w:val="21"/>
              </w:rPr>
              <w:t>1台，要求具备APT攻击预测技术和攻击防御技术）、Web应用防火墙（</w:t>
            </w:r>
            <w:r>
              <w:rPr>
                <w:rFonts w:ascii="宋体" w:hAnsi="宋体" w:eastAsia="宋体" w:cs="宋体"/>
                <w:color w:val="000000"/>
                <w:sz w:val="24"/>
              </w:rPr>
              <w:t>≥</w:t>
            </w:r>
            <w:r>
              <w:rPr>
                <w:rFonts w:hint="eastAsia" w:asciiTheme="minorEastAsia" w:hAnsiTheme="minorEastAsia" w:cstheme="minorEastAsia"/>
                <w:color w:val="000000"/>
                <w:kern w:val="0"/>
                <w:szCs w:val="21"/>
              </w:rPr>
              <w:t>1台，要求具备网页防篡改功能）、态势感知平台（</w:t>
            </w:r>
            <w:r>
              <w:rPr>
                <w:rFonts w:ascii="宋体" w:hAnsi="宋体" w:eastAsia="宋体" w:cs="宋体"/>
                <w:color w:val="000000"/>
                <w:sz w:val="24"/>
              </w:rPr>
              <w:t>≥</w:t>
            </w:r>
            <w:r>
              <w:rPr>
                <w:rFonts w:hint="eastAsia" w:asciiTheme="minorEastAsia" w:hAnsiTheme="minorEastAsia" w:cstheme="minorEastAsia"/>
                <w:color w:val="000000"/>
                <w:kern w:val="0"/>
                <w:szCs w:val="21"/>
              </w:rPr>
              <w:t>1台，具备展示对应安全事件的建议处置方式）及其他的安全厂商认为应增加的设备部署于中心互联网边界，确保基础网络运行安全，在本地和云平台互联网区服务器上部署主机安全防护系统（具有针对服务器入侵检测和防护功能，并配有服务端可实现集中管理与监测，非普通杀毒软件，软件授权一年）。</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相关设备</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每年按需提供（设备租赁时间</w:t>
            </w:r>
            <w:r>
              <w:rPr>
                <w:rFonts w:ascii="宋体" w:hAnsi="宋体" w:eastAsia="宋体" w:cs="宋体"/>
                <w:color w:val="000000"/>
                <w:sz w:val="24"/>
              </w:rPr>
              <w:t>≥</w:t>
            </w:r>
            <w:r>
              <w:rPr>
                <w:rFonts w:hint="eastAsia" w:asciiTheme="minorEastAsia" w:hAnsiTheme="minorEastAsia" w:cstheme="minorEastAsia"/>
                <w:color w:val="000000"/>
                <w:kern w:val="0"/>
                <w:szCs w:val="21"/>
              </w:rPr>
              <w:t>60天）</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重要时期安全保障</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具有重大政治影响的活动前夕派遣专业安全服务人员提供资产清查、网络及数据安全检查和加固服务，活动期间根据中心需要安排人员提供远程支持，确保各网络及信息系统的安全稳定运行。攻防演练期间安排≥2名安全技术人员远程5*8小时防守，借助云平台及本地现有和租赁的安全设备及部署的防护软件获取相关数据日志进行分析，根据分析结果进行威胁处置，并提供针对我单位系统的威胁攻击和处置数据的截图或日志（本地和云平台）等，确保单位网络及信息系统不被攻击成功，顺利完成防守任务，并协助中心编写演练相关材料报告。</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重保相关报告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每年按需提供（现场值守时间</w:t>
            </w:r>
            <w:r>
              <w:rPr>
                <w:rFonts w:ascii="宋体" w:hAnsi="宋体" w:eastAsia="宋体" w:cs="宋体"/>
                <w:color w:val="000000"/>
                <w:sz w:val="24"/>
              </w:rPr>
              <w:t>≥</w:t>
            </w:r>
            <w:r>
              <w:rPr>
                <w:rFonts w:hint="eastAsia" w:asciiTheme="minorEastAsia" w:hAnsiTheme="minorEastAsia" w:cstheme="minorEastAsia"/>
                <w:color w:val="000000"/>
                <w:kern w:val="0"/>
                <w:szCs w:val="21"/>
              </w:rPr>
              <w:t>30天）</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应急响应服务及疑难网络故障排查</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遇到突发事件后，立即开展故障排查，采取紧急措施并恢复业务；调查安全事件发生的原因，避免同类安全事件再次发生；在需要司法机关介入时，提供法律认可的数字证据等，根据中心需要协助开展网络安全应急演练，并对演练过程进行技术指导和支持，在遇到重大疑难网络故障时，安排技术人员协助排查故障原因；</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应急响应报告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全年，按需提供</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在线监测服务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对中心涉及的web站点提供可用性监控、网页挂马监控、网页敏感信息监控等：</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（1）网站可用性监控服务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全年7*24小时对网站首页进行轮询探测，网站访问不到则通过邮件或短信等方式进行告警，确保网站的可用性实时掌控； </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（2）域名劫持监控服务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全年7*24小时对网站首页进行域名劫持探测，一旦发现域名被劫持则通过邮件或短信等方式进行告警。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（3）网页挂马监控服务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全年7*24小时采用远程监控方式对网站页面进行网页挂马分析，一旦识别到网页挂马行为，则进行邮件或短信进行告警。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（4）网站暗链监控服务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全年7*24小时采用远程监控方式对网站页面进行暗链分析，一旦识别到网页存在暗链行为，则进行邮件或短信进行告警。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（5）敏感内容监控服务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全年7*24小时对关键网页的敏感内容进行监控，识别网站存在政治、低俗等敏感内容情况，并进行邮件或短信进行告警。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（6）网站监控警服务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针对网站监控平台发现的问题，监控平台自动通过微信或者短信发送告警信息到系统管理员等相关人员。</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（7）网站安全监控报告</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安全服务提供商定期汇总安全监控情况，并提交详细的监控报告。</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安全监测月报</w:t>
            </w:r>
            <w:r>
              <w:rPr>
                <w:rFonts w:hint="eastAsia" w:asciiTheme="minorEastAsia" w:hAnsiTheme="minorEastAsia" w:cstheme="minorEastAsia"/>
                <w:color w:val="000000"/>
                <w:kern w:val="0"/>
                <w:szCs w:val="21"/>
                <w:lang w:bidi="ar"/>
              </w:rPr>
              <w:t>（报告每月1份）</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数据资产梳理服务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针对数据库资产以及数据库账户、权限情况进行梳理清查，通过对数据资产的摸底，形成数据资产清单，全局掌握数据资产情况。</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《数据资产清单》、《数据库账户权限清单》</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kern w:val="0"/>
                <w:szCs w:val="21"/>
              </w:rPr>
              <w:t>数据安全评估服务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福州市公共资源电子交易平台、福州市建设工程电子招投标系统以访谈形式提供数据安全评估服务，基于数据资产发现与梳理，识别敏感资产的状况，从数据安全管理、数据生命周期开展评估工作，并根据评估结果提出改善建议。</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《数据安全评估报告》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数据安全管理体系服务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协助健全数据安全管理体系，为制定数据安全相关管理制度、规范、流程、策略提供咨询服务。</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《数据安全组织制度》、《数据安全管理制度》</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攻防演练防守保障</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通过网络安全攻防演练，进一步检验网络安全防护能力、监测发现能力、应急处置能力，发现可能在网络安全防护、监测和处置措施中存在的短板，积累有效应对网络安全攻击和威胁的经验，促进网络安全积极防御、协同处置的体系建设，促进网络安全队伍建设，在实战中有效提升网络安全保障能力。针对演练活动提供演练统筹服务、演练前期风险自查服务、演练前期整改加固服务、汇报总结服务等。</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《检测报告》</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《总结报告》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bl>
    <w:p>
      <w:pPr>
        <w:pStyle w:val="10"/>
        <w:widowControl/>
        <w:shd w:val="clear" w:color="auto" w:fill="FFFFFF"/>
        <w:spacing w:beforeAutospacing="0" w:afterAutospacing="0" w:line="360" w:lineRule="auto"/>
        <w:rPr>
          <w:rStyle w:val="15"/>
          <w:rFonts w:asciiTheme="minorEastAsia" w:hAnsiTheme="minorEastAsia" w:cstheme="minorEastAsia"/>
          <w:b w:val="0"/>
          <w:color w:val="333333"/>
          <w:shd w:val="clear" w:color="auto" w:fill="FFFFFF"/>
        </w:rPr>
      </w:pPr>
    </w:p>
    <w:p>
      <w:pPr>
        <w:pStyle w:val="10"/>
        <w:widowControl/>
        <w:shd w:val="clear" w:color="auto" w:fill="FFFFFF"/>
        <w:spacing w:beforeAutospacing="0" w:afterAutospacing="0" w:line="360" w:lineRule="auto"/>
        <w:rPr>
          <w:rStyle w:val="15"/>
          <w:rFonts w:asciiTheme="minorEastAsia" w:hAnsiTheme="minorEastAsia" w:cstheme="minorEastAsia"/>
          <w:b w:val="0"/>
          <w:color w:val="333333"/>
          <w:shd w:val="clear" w:color="auto" w:fill="FFFFFF"/>
        </w:rPr>
      </w:pPr>
    </w:p>
    <w:p>
      <w:pPr>
        <w:pStyle w:val="10"/>
        <w:widowControl/>
        <w:shd w:val="clear" w:color="auto" w:fill="FFFFFF"/>
        <w:spacing w:beforeAutospacing="0" w:afterAutospacing="0" w:line="360" w:lineRule="auto"/>
        <w:rPr>
          <w:rStyle w:val="15"/>
          <w:rFonts w:asciiTheme="minorEastAsia" w:hAnsiTheme="minorEastAsia" w:cstheme="minorEastAsia"/>
          <w:b w:val="0"/>
          <w:color w:val="333333"/>
          <w:shd w:val="clear" w:color="auto" w:fill="FFFFFF"/>
        </w:rPr>
      </w:pPr>
    </w:p>
    <w:p>
      <w:pPr>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供应商全称：（盖章）</w:t>
      </w:r>
    </w:p>
    <w:p>
      <w:pPr>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授权代表：（签字）</w:t>
      </w:r>
    </w:p>
    <w:p>
      <w:pPr>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日期：   年   月   日</w:t>
      </w:r>
    </w:p>
    <w:p>
      <w:pPr>
        <w:spacing w:line="360" w:lineRule="auto"/>
        <w:jc w:val="center"/>
        <w:rPr>
          <w:rFonts w:asciiTheme="minorEastAsia" w:hAnsiTheme="minorEastAsia" w:cstheme="minorEastAsia"/>
          <w:bCs/>
          <w:sz w:val="24"/>
        </w:rPr>
      </w:pPr>
      <w:r>
        <w:rPr>
          <w:rFonts w:hint="eastAsia" w:asciiTheme="minorEastAsia" w:hAnsiTheme="minorEastAsia" w:cstheme="minorEastAsia"/>
          <w:sz w:val="24"/>
        </w:rPr>
        <w:br w:type="page"/>
      </w:r>
      <w:r>
        <w:rPr>
          <w:rFonts w:hint="eastAsia" w:asciiTheme="minorEastAsia" w:hAnsiTheme="minorEastAsia" w:cstheme="minorEastAsia"/>
          <w:sz w:val="24"/>
        </w:rPr>
        <w:t>7.</w:t>
      </w:r>
      <w:r>
        <w:rPr>
          <w:rFonts w:hint="eastAsia" w:asciiTheme="minorEastAsia" w:hAnsiTheme="minorEastAsia" w:cstheme="minorEastAsia"/>
          <w:b/>
          <w:sz w:val="24"/>
        </w:rPr>
        <w:t>报价部分</w:t>
      </w:r>
      <w:bookmarkStart w:id="10" w:name="_Toc414960387"/>
    </w:p>
    <w:p>
      <w:pPr>
        <w:spacing w:line="360" w:lineRule="auto"/>
        <w:jc w:val="center"/>
        <w:rPr>
          <w:rFonts w:asciiTheme="minorEastAsia" w:hAnsiTheme="minorEastAsia" w:cstheme="minorEastAsia"/>
          <w:bCs/>
          <w:sz w:val="24"/>
        </w:rPr>
      </w:pPr>
      <w:r>
        <w:rPr>
          <w:rFonts w:hint="eastAsia" w:asciiTheme="minorEastAsia" w:hAnsiTheme="minorEastAsia" w:cstheme="minorEastAsia"/>
          <w:bCs/>
          <w:sz w:val="24"/>
        </w:rPr>
        <w:t>报 价 表</w:t>
      </w:r>
      <w:bookmarkEnd w:id="10"/>
    </w:p>
    <w:p>
      <w:pPr>
        <w:pStyle w:val="10"/>
        <w:widowControl/>
        <w:shd w:val="clear" w:color="auto" w:fill="FFFFFF"/>
        <w:spacing w:beforeAutospacing="0" w:afterAutospacing="0" w:line="360" w:lineRule="auto"/>
        <w:ind w:left="1200" w:hanging="1200" w:hangingChars="500"/>
        <w:rPr>
          <w:rFonts w:asciiTheme="minorEastAsia" w:hAnsiTheme="minorEastAsia" w:cstheme="minorEastAsia"/>
          <w:color w:val="000000"/>
        </w:rPr>
      </w:pPr>
      <w:r>
        <w:rPr>
          <w:rFonts w:hint="eastAsia" w:asciiTheme="minorEastAsia" w:hAnsiTheme="minorEastAsia" w:cstheme="minorEastAsia"/>
        </w:rPr>
        <w:t>项目名称：福州市公共资源交易服务中心电子交易系统漏洞扫描及渗透测试服务项目</w:t>
      </w:r>
    </w:p>
    <w:tbl>
      <w:tblPr>
        <w:tblStyle w:val="12"/>
        <w:tblpPr w:leftFromText="180" w:rightFromText="180" w:vertAnchor="text" w:horzAnchor="page" w:tblpX="1455" w:tblpY="30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品目号</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品目编码及品目名称</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商品名称</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技术规格、服务及验收要求</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报价（元）</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1</w:t>
            </w:r>
          </w:p>
        </w:tc>
        <w:tc>
          <w:tcPr>
            <w:tcW w:w="834"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color w:val="333333"/>
                <w:sz w:val="24"/>
              </w:rPr>
              <w:t>[C16990000]其他信息技术服务</w:t>
            </w:r>
          </w:p>
        </w:tc>
        <w:tc>
          <w:tcPr>
            <w:tcW w:w="1191"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color w:val="333333"/>
                <w:sz w:val="24"/>
              </w:rPr>
              <w:t>福州市公共资源交易服务中心电子交易系统漏洞扫描及渗透测试服务</w:t>
            </w: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1.</w:t>
            </w:r>
            <w:r>
              <w:rPr>
                <w:rFonts w:hint="eastAsia" w:asciiTheme="minorEastAsia" w:hAnsiTheme="minorEastAsia" w:cstheme="minorEastAsia"/>
                <w:color w:val="333333"/>
                <w:sz w:val="24"/>
              </w:rPr>
              <w:t>福州市公共资源电子交易平台（旧政务云26台服务器）：在2024年度进行≥3次安全漏洞扫描服务（原则上2024年第2、3、4季度各一次，采购人有特别要求的除外），2025年度进行1次安全漏洞扫描服务（原则上2025年第1季度完成，采购人有特别要求的除外）。</w:t>
            </w:r>
          </w:p>
        </w:tc>
        <w:tc>
          <w:tcPr>
            <w:tcW w:w="1409"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color w:val="333333"/>
                <w:sz w:val="24"/>
              </w:rPr>
              <w:t>2.福州市公共资源电子交易平台（旧政务云26台服务器）：在2024年度进行≥3次渗透测试服务（原则上2024年第2、3、4季度各一次，采购人有特别要求的除外），2025年度进行1次渗透测试服务（原则上2025年第1季度完成，采购人有特别要求的除外）。</w:t>
            </w:r>
          </w:p>
        </w:tc>
        <w:tc>
          <w:tcPr>
            <w:tcW w:w="14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3.</w:t>
            </w:r>
            <w:r>
              <w:rPr>
                <w:rFonts w:hint="eastAsia" w:asciiTheme="minorEastAsia" w:hAnsiTheme="minorEastAsia" w:cstheme="minorEastAsia"/>
                <w:color w:val="333333"/>
                <w:sz w:val="24"/>
              </w:rPr>
              <w:t>福州市建设工程电子招投标系统（新政务云32台服务器）：在2024年度进行≥3次安全漏洞扫描服务</w:t>
            </w:r>
            <w:r>
              <w:rPr>
                <w:rFonts w:hint="eastAsia" w:asciiTheme="minorEastAsia" w:hAnsiTheme="minorEastAsia" w:cstheme="minorEastAsia"/>
                <w:color w:val="333333"/>
                <w:kern w:val="0"/>
                <w:sz w:val="24"/>
                <w:lang w:bidi="ar"/>
              </w:rPr>
              <w:t>（</w:t>
            </w:r>
            <w:r>
              <w:rPr>
                <w:rFonts w:hint="eastAsia" w:asciiTheme="minorEastAsia" w:hAnsiTheme="minorEastAsia" w:cstheme="minorEastAsia"/>
                <w:color w:val="333333"/>
                <w:sz w:val="24"/>
              </w:rPr>
              <w:t>原则上2024年第2、3、4季度各一次，采购人有特别要求的除外），2025年度进行1次安全漏洞扫描服务（原则上2025年第1季度完成，采购人有特别要求的除外）。</w:t>
            </w:r>
          </w:p>
        </w:tc>
        <w:tc>
          <w:tcPr>
            <w:tcW w:w="14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4.</w:t>
            </w:r>
            <w:r>
              <w:rPr>
                <w:rFonts w:hint="eastAsia" w:asciiTheme="minorEastAsia" w:hAnsiTheme="minorEastAsia" w:cstheme="minorEastAsia"/>
                <w:color w:val="333333"/>
                <w:sz w:val="24"/>
              </w:rPr>
              <w:t>福州市建设工程电子招投标系统（新政务云32台服务器）：在2024年度进行≥3次渗透测试服务</w:t>
            </w:r>
            <w:r>
              <w:rPr>
                <w:rFonts w:hint="eastAsia" w:asciiTheme="minorEastAsia" w:hAnsiTheme="minorEastAsia" w:cstheme="minorEastAsia"/>
                <w:color w:val="333333"/>
                <w:kern w:val="0"/>
                <w:sz w:val="24"/>
                <w:lang w:bidi="ar"/>
              </w:rPr>
              <w:t>（</w:t>
            </w:r>
            <w:r>
              <w:rPr>
                <w:rFonts w:hint="eastAsia" w:asciiTheme="minorEastAsia" w:hAnsiTheme="minorEastAsia" w:cstheme="minorEastAsia"/>
                <w:color w:val="333333"/>
                <w:sz w:val="24"/>
              </w:rPr>
              <w:t>原则上2024年第2、3、4季度各一次，采购人有特别要求的除外），2025年度进行1次渗透测试服务（原则上2025年第1季度完成，采购人有特别要求的除外）。</w:t>
            </w:r>
          </w:p>
        </w:tc>
        <w:tc>
          <w:tcPr>
            <w:tcW w:w="14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5.</w:t>
            </w:r>
            <w:r>
              <w:rPr>
                <w:rFonts w:hint="eastAsia" w:asciiTheme="minorEastAsia" w:hAnsiTheme="minorEastAsia" w:cstheme="minorEastAsia"/>
                <w:color w:val="333333"/>
                <w:sz w:val="24"/>
              </w:rPr>
              <w:t>服务内容见附表。</w:t>
            </w:r>
          </w:p>
        </w:tc>
        <w:tc>
          <w:tcPr>
            <w:tcW w:w="14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stheme="minorEastAsia"/>
                <w:sz w:val="24"/>
              </w:rPr>
            </w:pPr>
            <w:r>
              <w:rPr>
                <w:rFonts w:hint="eastAsia" w:asciiTheme="minorEastAsia" w:hAnsiTheme="minorEastAsia" w:cstheme="minorEastAsia"/>
                <w:sz w:val="24"/>
              </w:rPr>
              <w:t>6.</w:t>
            </w:r>
            <w:r>
              <w:rPr>
                <w:rFonts w:hint="eastAsia" w:asciiTheme="minorEastAsia" w:hAnsiTheme="minorEastAsia" w:cstheme="minorEastAsia"/>
                <w:color w:val="333333"/>
                <w:sz w:val="24"/>
              </w:rPr>
              <w:t>按政府部门制定的相关规范、技术要求交付符合采购人要求的完整材料，并通过政府部门要求的系统安全绩效考核。项目工作成果应符合采购人的保密要求。</w:t>
            </w:r>
          </w:p>
        </w:tc>
        <w:tc>
          <w:tcPr>
            <w:tcW w:w="1409"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vMerge w:val="continue"/>
            <w:tcBorders>
              <w:left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9"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834"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1191"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c>
          <w:tcPr>
            <w:tcW w:w="4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r>
              <w:rPr>
                <w:rFonts w:hint="eastAsia" w:asciiTheme="minorEastAsia" w:hAnsiTheme="minorEastAsia" w:cstheme="minorEastAsia"/>
                <w:sz w:val="24"/>
              </w:rPr>
              <w:t>7.</w:t>
            </w:r>
            <w:r>
              <w:rPr>
                <w:rFonts w:hint="eastAsia" w:asciiTheme="minorEastAsia" w:hAnsiTheme="minorEastAsia" w:cstheme="minorEastAsia"/>
                <w:color w:val="333333"/>
                <w:sz w:val="24"/>
                <w:shd w:val="clear" w:color="auto" w:fill="FFFFFF"/>
              </w:rPr>
              <w:t>交付时间：合同签订之日起一年内。</w:t>
            </w:r>
          </w:p>
        </w:tc>
        <w:tc>
          <w:tcPr>
            <w:tcW w:w="1409"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
                <w:sz w:val="24"/>
              </w:rPr>
            </w:pPr>
          </w:p>
        </w:tc>
        <w:tc>
          <w:tcPr>
            <w:tcW w:w="812"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sz w:val="24"/>
              </w:rPr>
            </w:pPr>
          </w:p>
        </w:tc>
      </w:tr>
    </w:tbl>
    <w:p>
      <w:pPr>
        <w:pStyle w:val="10"/>
        <w:widowControl/>
        <w:shd w:val="clear" w:color="auto" w:fill="FFFFFF"/>
        <w:spacing w:beforeAutospacing="0" w:afterAutospacing="0" w:line="360" w:lineRule="auto"/>
        <w:rPr>
          <w:rStyle w:val="15"/>
          <w:rFonts w:asciiTheme="minorEastAsia" w:hAnsiTheme="minorEastAsia" w:cstheme="minorEastAsia"/>
          <w:b w:val="0"/>
          <w:color w:val="333333"/>
          <w:shd w:val="clear" w:color="auto" w:fill="FFFFFF"/>
        </w:rPr>
      </w:pPr>
    </w:p>
    <w:p>
      <w:pPr>
        <w:rPr>
          <w:rStyle w:val="15"/>
          <w:rFonts w:asciiTheme="minorEastAsia" w:hAnsiTheme="minorEastAsia" w:cstheme="minorEastAsia"/>
          <w:b w:val="0"/>
          <w:color w:val="333333"/>
          <w:sz w:val="24"/>
          <w:shd w:val="clear" w:color="auto" w:fill="FFFFFF"/>
        </w:rPr>
      </w:pPr>
      <w:r>
        <w:rPr>
          <w:rStyle w:val="15"/>
          <w:rFonts w:hint="eastAsia" w:asciiTheme="minorEastAsia" w:hAnsiTheme="minorEastAsia" w:cstheme="minorEastAsia"/>
          <w:b w:val="0"/>
          <w:color w:val="333333"/>
          <w:sz w:val="24"/>
          <w:shd w:val="clear" w:color="auto" w:fill="FFFFFF"/>
        </w:rPr>
        <w:br w:type="page"/>
      </w:r>
    </w:p>
    <w:p>
      <w:pPr>
        <w:widowControl/>
        <w:spacing w:line="360" w:lineRule="auto"/>
        <w:ind w:right="508" w:rightChars="242"/>
        <w:rPr>
          <w:rStyle w:val="15"/>
          <w:rFonts w:asciiTheme="minorEastAsia" w:hAnsiTheme="minorEastAsia" w:cstheme="minorEastAsia"/>
          <w:b w:val="0"/>
          <w:color w:val="333333"/>
          <w:sz w:val="24"/>
          <w:shd w:val="clear" w:color="auto" w:fill="FFFFFF"/>
        </w:rPr>
      </w:pPr>
      <w:r>
        <w:rPr>
          <w:rStyle w:val="15"/>
          <w:rFonts w:hint="eastAsia" w:asciiTheme="minorEastAsia" w:hAnsiTheme="minorEastAsia" w:cstheme="minorEastAsia"/>
          <w:b w:val="0"/>
          <w:color w:val="333333"/>
          <w:sz w:val="24"/>
          <w:shd w:val="clear" w:color="auto" w:fill="FFFFFF"/>
        </w:rPr>
        <w:t>附表：</w:t>
      </w: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18"/>
        <w:gridCol w:w="3288"/>
        <w:gridCol w:w="1228"/>
        <w:gridCol w:w="1407"/>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序号</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服务项目</w:t>
            </w:r>
          </w:p>
        </w:tc>
        <w:tc>
          <w:tcPr>
            <w:tcW w:w="32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服务内容</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交付成果</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服务频次</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60" w:lineRule="auto"/>
              <w:jc w:val="center"/>
              <w:rPr>
                <w:rFonts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漏洞扫描</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（1）针对内部主机如：服务器、操作系统、网络设备与数据库扫描；</w:t>
            </w:r>
          </w:p>
          <w:p>
            <w:pPr>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szCs w:val="21"/>
              </w:rPr>
              <w:t>（2）针对业务系统开展现场或远程扫描。</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漏洞扫描报告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w:t>
            </w:r>
            <w:r>
              <w:rPr>
                <w:rFonts w:hint="eastAsia" w:asciiTheme="minorEastAsia" w:hAnsiTheme="minorEastAsia" w:cstheme="minorEastAsia"/>
                <w:szCs w:val="21"/>
              </w:rPr>
              <w:t>2024年第2、3、4季度各一次，2025年第1季度一次</w:t>
            </w:r>
            <w:r>
              <w:rPr>
                <w:rFonts w:hint="eastAsia" w:asciiTheme="minorEastAsia" w:hAnsiTheme="minorEastAsia" w:cstheme="minorEastAsia"/>
                <w:color w:val="000000"/>
                <w:kern w:val="0"/>
                <w:szCs w:val="21"/>
              </w:rPr>
              <w:t>）</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渗透测试</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利用目标应用系统的安全弱点模拟真正的黑客入侵攻击方法，以人工渗透为主，以漏洞扫描工具为辅。</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渗透测试报告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w:t>
            </w:r>
            <w:r>
              <w:rPr>
                <w:rFonts w:hint="eastAsia" w:asciiTheme="minorEastAsia" w:hAnsiTheme="minorEastAsia" w:cstheme="minorEastAsia"/>
                <w:szCs w:val="21"/>
              </w:rPr>
              <w:t>2024年第2、3、4季度各一次，2025年第1季度一次</w:t>
            </w:r>
            <w:r>
              <w:rPr>
                <w:rFonts w:hint="eastAsia" w:asciiTheme="minorEastAsia" w:hAnsiTheme="minorEastAsia" w:cstheme="minorEastAsia"/>
                <w:color w:val="000000"/>
                <w:kern w:val="0"/>
                <w:szCs w:val="21"/>
              </w:rPr>
              <w:t>）</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协助安全加固</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安全加固（包含软件应用基线、数据库基线、中间件基线、操作系统基线等), 安全加固服务采用“人工+工具”加固方式，即通过安全基线检查和安全策略修复，并结合第三方安全加固工具实现对操作系统的全面安全增强, 1)安全加固工具支持内核级的强制访问控制功能，支持基于敏感标记(安全等级)控制文件读写权限（提供对应工具功能截图）2)安全加固工具支持白名单功能，只有属于白名单的进程可以运行，可以有效禁止病毒或木马的执行。（提供对应工具功能截图）3)安全加固工具支持基于MD5的识别技术的文件完整性检查功能，可对文件进行资源完整性监控。（提供对应工具功能截图）4)安全加固工具支持基线检查功能，能对常见的系统脆弱性进行一键扫描和加固修复。（提供对应工具功能截图）5)安全加固工具支持服务器的非法外联管控，避免服务器私自连接外部网络。（提供对应工具功能截图）6)安全加固工具支持外接USB设备的管控，可对接入的第三方USB设备进行控制，防止物理层面的非法接入行为。（提供对应工具功能截图）7）安全加固工具具有中国网络安全审查技术与认证中心颁发的IT产品信息安全认证证书，满足“ISCCC-TR-001-2017《操作系统安全加固产品安全技术要求》（增强级）”相关产品标准及技术要求。（提供对应工具证书复印件证明）</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安全咨询相关内容</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制度建设辅导</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采购人完善现有安全管理制度，按照等级保护管理部分的标准，从安全管理制度、安全管理机构、人员安全管理、系统建设管理、系统运维管理5个方面协助采购人补充及完善等级保护要求的管理体系建设中涉及到的制度文档，以及相关记录的完善。</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安全管理制度汇编</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入侵痕迹排查</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对中心部署在本地及云平台上的服务器操作系统和应用的运行环境进行入侵痕迹的安全检查，包括可疑的文件、服务、进程、端口、网络连接、网站WebShell后门等，综合评估当前系统运行环境安全情况，生产入侵痕迹检测报告，并提出安全修复建议</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《入侵清查报告》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安全防护设备租赁及演练</w:t>
            </w:r>
          </w:p>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支撑</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2"/>
              </w:numPr>
              <w:adjustRightInd w:val="0"/>
              <w:spacing w:line="360" w:lineRule="auto"/>
              <w:rPr>
                <w:rFonts w:asciiTheme="minorEastAsia" w:hAnsiTheme="minorEastAsia" w:cstheme="minorEastAsia"/>
                <w:szCs w:val="21"/>
              </w:rPr>
            </w:pPr>
            <w:r>
              <w:rPr>
                <w:rFonts w:hint="eastAsia" w:asciiTheme="minorEastAsia" w:hAnsiTheme="minorEastAsia" w:cstheme="minorEastAsia"/>
                <w:color w:val="000000"/>
                <w:kern w:val="0"/>
                <w:szCs w:val="21"/>
              </w:rPr>
              <w:t>在网络安全监管部门举办的攻防演练期间租赁包括下一代防火墙（</w:t>
            </w:r>
            <w:r>
              <w:rPr>
                <w:rFonts w:ascii="宋体" w:hAnsi="宋体" w:eastAsia="宋体" w:cs="宋体"/>
                <w:color w:val="000000"/>
                <w:sz w:val="24"/>
              </w:rPr>
              <w:t>≥</w:t>
            </w:r>
            <w:r>
              <w:rPr>
                <w:rFonts w:hint="eastAsia" w:asciiTheme="minorEastAsia" w:hAnsiTheme="minorEastAsia" w:cstheme="minorEastAsia"/>
                <w:color w:val="000000"/>
                <w:kern w:val="0"/>
                <w:szCs w:val="21"/>
              </w:rPr>
              <w:t>3台，要求具备入侵防御、网络防病毒功能）、高级持续性威胁检测设备(APT)（</w:t>
            </w:r>
            <w:r>
              <w:rPr>
                <w:rFonts w:ascii="宋体" w:hAnsi="宋体" w:eastAsia="宋体" w:cs="宋体"/>
                <w:color w:val="000000"/>
                <w:sz w:val="24"/>
              </w:rPr>
              <w:t>≥</w:t>
            </w:r>
            <w:r>
              <w:rPr>
                <w:rFonts w:hint="eastAsia" w:asciiTheme="minorEastAsia" w:hAnsiTheme="minorEastAsia" w:cstheme="minorEastAsia"/>
                <w:color w:val="000000"/>
                <w:kern w:val="0"/>
                <w:szCs w:val="21"/>
              </w:rPr>
              <w:t>1台，要求具备APT攻击预测技术和攻击防御技术）、Web应用防火墙（</w:t>
            </w:r>
            <w:r>
              <w:rPr>
                <w:rFonts w:ascii="宋体" w:hAnsi="宋体" w:eastAsia="宋体" w:cs="宋体"/>
                <w:color w:val="000000"/>
                <w:sz w:val="24"/>
              </w:rPr>
              <w:t>≥</w:t>
            </w:r>
            <w:r>
              <w:rPr>
                <w:rFonts w:hint="eastAsia" w:asciiTheme="minorEastAsia" w:hAnsiTheme="minorEastAsia" w:cstheme="minorEastAsia"/>
                <w:color w:val="000000"/>
                <w:kern w:val="0"/>
                <w:szCs w:val="21"/>
              </w:rPr>
              <w:t>1台，要求具备网页防篡改功能）、态势感知平台（</w:t>
            </w:r>
            <w:r>
              <w:rPr>
                <w:rFonts w:ascii="宋体" w:hAnsi="宋体" w:eastAsia="宋体" w:cs="宋体"/>
                <w:color w:val="000000"/>
                <w:sz w:val="24"/>
              </w:rPr>
              <w:t>≥</w:t>
            </w:r>
            <w:r>
              <w:rPr>
                <w:rFonts w:hint="eastAsia" w:asciiTheme="minorEastAsia" w:hAnsiTheme="minorEastAsia" w:cstheme="minorEastAsia"/>
                <w:color w:val="000000"/>
                <w:kern w:val="0"/>
                <w:szCs w:val="21"/>
              </w:rPr>
              <w:t>1台，具备展示对应安全事件的建议处置方式）及其他的安全厂商认为应增加的设备部署于中心互联网边界，确保基础网络运行安全，在本地和云平台互联网区服务器上部署主机安全防护系统（具有针对服务器入侵检测和防护功能，并配有服务端可实现集中管理与监测，非普通杀毒软件，软件授权一年）。</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相关设备</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每年按需提供（设备租赁时间</w:t>
            </w:r>
            <w:r>
              <w:rPr>
                <w:rFonts w:ascii="宋体" w:hAnsi="宋体" w:eastAsia="宋体" w:cs="宋体"/>
                <w:color w:val="000000"/>
                <w:sz w:val="24"/>
              </w:rPr>
              <w:t>≥</w:t>
            </w:r>
            <w:r>
              <w:rPr>
                <w:rFonts w:hint="eastAsia" w:asciiTheme="minorEastAsia" w:hAnsiTheme="minorEastAsia" w:cstheme="minorEastAsia"/>
                <w:color w:val="000000"/>
                <w:kern w:val="0"/>
                <w:szCs w:val="21"/>
              </w:rPr>
              <w:t>60天）</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重要时期安全保障</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具有重大政治影响的活动前夕派遣专业安全服务人员提供资产清查、网络及数据安全检查和加固服务，活动期间根据中心需要安排人员提供远程支持，确保各网络及信息系统的安全稳定运行。攻防演练期间安排≥2名安全技术人员远程5*8小时防守，借助云平台及本地现有和租赁的安全设备及部署的防护软件获取相关数据日志进行分析，根据分析结果进行威胁处置，并提供针对我单位系统的威胁攻击和处置数据的截图或日志（本地和云平台）等，确保单位网络及信息系统不被攻击成功，顺利完成防守任务，并协助中心编写演练相关材料报告。</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重保相关报告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每年按需提供（现场值守时间</w:t>
            </w:r>
            <w:r>
              <w:rPr>
                <w:rFonts w:ascii="宋体" w:hAnsi="宋体" w:eastAsia="宋体" w:cs="宋体"/>
                <w:color w:val="000000"/>
                <w:sz w:val="24"/>
              </w:rPr>
              <w:t>≥</w:t>
            </w:r>
            <w:r>
              <w:rPr>
                <w:rFonts w:hint="eastAsia" w:asciiTheme="minorEastAsia" w:hAnsiTheme="minorEastAsia" w:cstheme="minorEastAsia"/>
                <w:color w:val="000000"/>
                <w:kern w:val="0"/>
                <w:szCs w:val="21"/>
              </w:rPr>
              <w:t>30天）</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8</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应急响应服务及疑难网络故障排查</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遇到突发事件后，立即开展故障排查，采取紧急措施并恢复业务；调查安全事件发生的原因，避免同类安全事件再次发生；在需要司法机关介入时，提供法律认可的数字证据等，根据中心需要协助开展网络安全应急演练，并对演练过程进行技术指导和支持，在遇到重大疑难网络故障时，安排技术人员协助排查故障原因；</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应急响应报告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全年，按需提供</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9</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在线监测服务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对中心涉及的web站点提供可用性监控、网页挂马监控、网页敏感信息监控等：</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（1）网站可用性监控服务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 xml:space="preserve">全年7*24小时对网站首页进行轮询探测，网站访问不到则通过邮件或短信等方式进行告警，确保网站的可用性实时掌控； </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（2）域名劫持监控服务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全年7*24小时对网站首页进行域名劫持探测，一旦发现域名被劫持则通过邮件或短信等方式进行告警。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（3）网页挂马监控服务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全年7*24小时采用远程监控方式对网站页面进行网页挂马分析，一旦识别到网页挂马行为，则进行邮件或短信进行告警。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（4）网站暗链监控服务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全年7*24小时采用远程监控方式对网站页面进行暗链分析，一旦识别到网页存在暗链行为，则进行邮件或短信进行告警。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（5）敏感内容监控服务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全年7*24小时对关键网页的敏感内容进行监控，识别网站存在政治、低俗等敏感内容情况，并进行邮件或短信进行告警。</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（6）网站监控警服务</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针对网站监控平台发现的问题，监控平台自动通过微信或者短信发送告警信息到系统管理员等相关人员。</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（7）网站安全监控报告</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安全服务提供商定期汇总安全监控情况，并提交详细的监控报告。</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安全监测月报</w:t>
            </w:r>
            <w:r>
              <w:rPr>
                <w:rFonts w:hint="eastAsia" w:asciiTheme="minorEastAsia" w:hAnsiTheme="minorEastAsia" w:cstheme="minorEastAsia"/>
                <w:color w:val="000000"/>
                <w:kern w:val="0"/>
                <w:szCs w:val="21"/>
                <w:lang w:bidi="ar"/>
              </w:rPr>
              <w:t>（报告每月1份）</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数据资产梳理服务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针对数据库资产以及数据库账户、权限情况进行梳理清查，通过对数据资产的摸底，形成数据资产清单，全局掌握数据资产情况。</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《数据资产清单》、《数据库账户权限清单》</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11</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kern w:val="0"/>
                <w:szCs w:val="21"/>
              </w:rPr>
              <w:t>数据安全评估服务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针对福州市公共资源电子交易平台、福州市建设工程电子招投标系统以访谈形式提供数据安全评估服务，基于数据资产发现与梳理，识别敏感资产的状况，从数据安全管理、数据生命周期开展评估工作，并根据评估结果提出改善建议。</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《数据安全评估报告》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12</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数据安全管理体系服务</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协助健全数据安全管理体系，为制定数据安全相关管理制度、规范、流程、策略提供咨询服务。</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《数据安全组织制度》、《数据安全管理制度》</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tcBorders>
              <w:left w:val="single" w:color="auto" w:sz="4" w:space="0"/>
              <w:right w:val="single" w:color="auto" w:sz="4" w:space="0"/>
            </w:tcBorders>
            <w:shd w:val="clear" w:color="auto" w:fill="FFFFFF"/>
            <w:vAlign w:val="center"/>
          </w:tcPr>
          <w:p>
            <w:pPr>
              <w:pStyle w:val="17"/>
              <w:widowControl/>
              <w:adjustRightInd w:val="0"/>
              <w:spacing w:line="360" w:lineRule="auto"/>
              <w:ind w:firstLine="0" w:firstLineChars="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13</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攻防演练防守保障</w:t>
            </w:r>
          </w:p>
        </w:tc>
        <w:tc>
          <w:tcPr>
            <w:tcW w:w="32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通过网络安全攻防演练，进一步检验网络安全防护能力、监测发现能力、应急处置能力，发现可能在网络安全防护、监测和处置措施中存在的短板，积累有效应对网络安全攻击和威胁的经验，促进网络安全积极防御、协同处置的体系建设，促进网络安全队伍建设，在实战中有效提升网络安全保障能力。针对演练活动提供演练统筹服务、演练前期风险自查服务、演练前期整改加固服务、汇报总结服务等。</w:t>
            </w:r>
          </w:p>
        </w:tc>
        <w:tc>
          <w:tcPr>
            <w:tcW w:w="12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《检测报告》</w:t>
            </w:r>
          </w:p>
          <w:p>
            <w:pPr>
              <w:widowControl/>
              <w:adjustRightInd w:val="0"/>
              <w:spacing w:line="360" w:lineRule="auto"/>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《总结报告》</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1次/年</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pacing w:line="360" w:lineRule="auto"/>
              <w:jc w:val="left"/>
              <w:rPr>
                <w:rFonts w:asciiTheme="minorEastAsia" w:hAnsiTheme="minorEastAsia" w:cstheme="minorEastAsia"/>
                <w:b/>
                <w:bCs/>
                <w:color w:val="000000"/>
                <w:kern w:val="0"/>
                <w:szCs w:val="21"/>
              </w:rPr>
            </w:pPr>
          </w:p>
        </w:tc>
      </w:tr>
    </w:tbl>
    <w:p>
      <w:pPr>
        <w:spacing w:line="360" w:lineRule="auto"/>
        <w:rPr>
          <w:rFonts w:asciiTheme="minorEastAsia" w:hAnsiTheme="minorEastAsia" w:cstheme="minorEastAsia"/>
          <w:kern w:val="0"/>
          <w:sz w:val="24"/>
        </w:rPr>
      </w:pPr>
    </w:p>
    <w:p>
      <w:pPr>
        <w:spacing w:line="360" w:lineRule="auto"/>
        <w:rPr>
          <w:rFonts w:asciiTheme="minorEastAsia" w:hAnsiTheme="minorEastAsia" w:cstheme="minorEastAsia"/>
          <w:kern w:val="0"/>
          <w:sz w:val="24"/>
        </w:rPr>
      </w:pPr>
    </w:p>
    <w:p>
      <w:pPr>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供应商全称：（盖章）</w:t>
      </w:r>
    </w:p>
    <w:p>
      <w:pPr>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授权代表：（签字）</w:t>
      </w:r>
    </w:p>
    <w:p>
      <w:pPr>
        <w:spacing w:line="360" w:lineRule="auto"/>
        <w:rPr>
          <w:rFonts w:asciiTheme="minorEastAsia" w:hAnsiTheme="minorEastAsia" w:cstheme="minorEastAsia"/>
          <w:kern w:val="0"/>
          <w:sz w:val="24"/>
        </w:rPr>
      </w:pPr>
      <w:r>
        <w:rPr>
          <w:rFonts w:hint="eastAsia" w:asciiTheme="minorEastAsia" w:hAnsiTheme="minorEastAsia" w:cstheme="minorEastAsia"/>
          <w:kern w:val="0"/>
          <w:sz w:val="24"/>
        </w:rPr>
        <w:t>日期：   年   月   日</w:t>
      </w:r>
    </w:p>
    <w:p>
      <w:pPr>
        <w:spacing w:line="360" w:lineRule="auto"/>
      </w:pPr>
    </w:p>
    <w:p>
      <w:pPr>
        <w:spacing w:line="360" w:lineRule="auto"/>
      </w:pPr>
    </w:p>
    <w:p>
      <w:pPr>
        <w:pStyle w:val="2"/>
        <w:spacing w:line="360" w:lineRule="auto"/>
      </w:pPr>
    </w:p>
    <w:p>
      <w:pPr>
        <w:pStyle w:val="2"/>
        <w:spacing w:line="360" w:lineRule="auto"/>
      </w:pPr>
    </w:p>
    <w:p>
      <w:r>
        <w:br w:type="page"/>
      </w:r>
    </w:p>
    <w:p>
      <w:pPr>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8.其他采购文件要求的文件</w:t>
      </w:r>
    </w:p>
    <w:p>
      <w:pPr>
        <w:spacing w:line="360" w:lineRule="auto"/>
        <w:ind w:firstLine="480" w:firstLineChars="200"/>
        <w:jc w:val="center"/>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u w:val="single"/>
        </w:rPr>
        <w:t>致 福州市公共资源交易服务中心</w:t>
      </w:r>
      <w:r>
        <w:rPr>
          <w:rFonts w:hint="eastAsia" w:asciiTheme="minorEastAsia" w:hAnsiTheme="minorEastAsia" w:cstheme="minorEastAsia"/>
          <w:sz w:val="24"/>
        </w:rPr>
        <w:t>：</w:t>
      </w:r>
    </w:p>
    <w:p>
      <w:pPr>
        <w:spacing w:line="360" w:lineRule="auto"/>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现附上</w:t>
      </w: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          报 价 人（全称并加盖公章）：</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w:t>
      </w:r>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 xml:space="preserve">                         日      期：</w:t>
      </w:r>
      <w:r>
        <w:rPr>
          <w:rFonts w:hint="eastAsia" w:asciiTheme="minorEastAsia" w:hAnsiTheme="minorEastAsia" w:cstheme="minorEastAsia"/>
          <w:sz w:val="24"/>
          <w:u w:val="single"/>
        </w:rPr>
        <w:t xml:space="preserve">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（报价文中个人签章应真实、有效。</w:t>
      </w:r>
      <w:r>
        <w:rPr>
          <w:rFonts w:hint="eastAsia" w:asciiTheme="minorEastAsia" w:hAnsiTheme="minorEastAsia" w:cstheme="minorEastAsia"/>
          <w:b/>
          <w:sz w:val="24"/>
        </w:rPr>
        <w:t>请各潜在报价人特别注意</w:t>
      </w:r>
      <w:r>
        <w:rPr>
          <w:rFonts w:hint="eastAsia" w:asciiTheme="minorEastAsia" w:hAnsiTheme="minorEastAsia" w:cstheme="minorEastAsia"/>
          <w:sz w:val="24"/>
        </w:rPr>
        <w:t>。）</w:t>
      </w:r>
    </w:p>
    <w:p>
      <w:pPr>
        <w:pStyle w:val="19"/>
        <w:spacing w:line="360" w:lineRule="auto"/>
        <w:jc w:val="center"/>
        <w:outlineLvl w:val="1"/>
        <w:rPr>
          <w:rFonts w:ascii="仿宋_GB2312" w:eastAsia="仿宋_GB2312"/>
          <w:szCs w:val="28"/>
        </w:rPr>
      </w:pPr>
    </w:p>
    <w:p>
      <w:pPr>
        <w:spacing w:line="360" w:lineRule="auto"/>
        <w:rPr>
          <w:sz w:val="28"/>
          <w:szCs w:val="28"/>
        </w:rPr>
      </w:pPr>
    </w:p>
    <w:p>
      <w:pPr>
        <w:spacing w:line="360" w:lineRule="auto"/>
        <w:rPr>
          <w:sz w:val="28"/>
          <w:szCs w:val="28"/>
        </w:rPr>
      </w:pP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p>
    <w:p>
      <w:pPr>
        <w:pStyle w:val="10"/>
        <w:widowControl/>
        <w:shd w:val="clear" w:color="auto" w:fill="FFFFFF"/>
        <w:adjustRightInd w:val="0"/>
        <w:snapToGrid w:val="0"/>
        <w:spacing w:beforeAutospacing="0" w:afterAutospacing="0" w:line="360" w:lineRule="auto"/>
        <w:ind w:firstLine="516"/>
        <w:rPr>
          <w:rFonts w:asciiTheme="minorEastAsia" w:hAnsiTheme="minorEastAsia" w:cstheme="minorEastAsia"/>
          <w:color w:val="333333"/>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fal">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BD84"/>
    <w:multiLevelType w:val="singleLevel"/>
    <w:tmpl w:val="4146BD84"/>
    <w:lvl w:ilvl="0" w:tentative="0">
      <w:start w:val="1"/>
      <w:numFmt w:val="decimal"/>
      <w:lvlText w:val="%1."/>
      <w:lvlJc w:val="left"/>
      <w:pPr>
        <w:tabs>
          <w:tab w:val="left" w:pos="312"/>
        </w:tabs>
      </w:pPr>
    </w:lvl>
  </w:abstractNum>
  <w:abstractNum w:abstractNumId="1">
    <w:nsid w:val="66601E21"/>
    <w:multiLevelType w:val="singleLevel"/>
    <w:tmpl w:val="66601E21"/>
    <w:lvl w:ilvl="0" w:tentative="0">
      <w:start w:val="1"/>
      <w:numFmt w:val="decimal"/>
      <w:suff w:val="nothing"/>
      <w:lvlText w:val="（%1）"/>
      <w:lvlJc w:val="left"/>
    </w:lvl>
  </w:abstractNum>
  <w:abstractNum w:abstractNumId="2">
    <w:nsid w:val="6FA4C702"/>
    <w:multiLevelType w:val="multilevel"/>
    <w:tmpl w:val="6FA4C702"/>
    <w:lvl w:ilvl="0" w:tentative="0">
      <w:start w:val="1"/>
      <w:numFmt w:val="chineseCountingThousand"/>
      <w:pStyle w:val="3"/>
      <w:lvlText w:val="(%1)"/>
      <w:lvlJc w:val="left"/>
      <w:pPr>
        <w:ind w:left="432" w:hanging="432"/>
      </w:pPr>
      <w:rPr>
        <w:rFonts w:hint="default"/>
      </w:rPr>
    </w:lvl>
    <w:lvl w:ilvl="1" w:tentative="0">
      <w:start w:val="1"/>
      <w:numFmt w:val="decimal"/>
      <w:lvlText w:val="%2."/>
      <w:lvlJc w:val="left"/>
      <w:pPr>
        <w:ind w:left="420" w:hanging="420"/>
      </w:pPr>
      <w:rPr>
        <w:sz w:val="36"/>
        <w:szCs w:val="4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hODQ5ZGRkNDhlOTkwMmFkY2IxMDQ2NTYyYmQwMzkifQ=="/>
  </w:docVars>
  <w:rsids>
    <w:rsidRoot w:val="3FF02476"/>
    <w:rsid w:val="000077D9"/>
    <w:rsid w:val="002E1F33"/>
    <w:rsid w:val="00306352"/>
    <w:rsid w:val="003846B9"/>
    <w:rsid w:val="003C7133"/>
    <w:rsid w:val="0045762A"/>
    <w:rsid w:val="004F1EC4"/>
    <w:rsid w:val="00565DEA"/>
    <w:rsid w:val="008738E7"/>
    <w:rsid w:val="008845C4"/>
    <w:rsid w:val="008A70CE"/>
    <w:rsid w:val="008B1155"/>
    <w:rsid w:val="00966386"/>
    <w:rsid w:val="009742FD"/>
    <w:rsid w:val="00991AFD"/>
    <w:rsid w:val="009C714B"/>
    <w:rsid w:val="00A766B8"/>
    <w:rsid w:val="00AA1EBF"/>
    <w:rsid w:val="00DC447D"/>
    <w:rsid w:val="00E23224"/>
    <w:rsid w:val="00E708A5"/>
    <w:rsid w:val="035F1A84"/>
    <w:rsid w:val="03697CC1"/>
    <w:rsid w:val="04FD6CC4"/>
    <w:rsid w:val="07C066F2"/>
    <w:rsid w:val="0BD93A0C"/>
    <w:rsid w:val="0BD968E9"/>
    <w:rsid w:val="0CF92543"/>
    <w:rsid w:val="0ED95B0A"/>
    <w:rsid w:val="0F6401AD"/>
    <w:rsid w:val="10F72A1A"/>
    <w:rsid w:val="134E1D9B"/>
    <w:rsid w:val="147408D8"/>
    <w:rsid w:val="14BE6954"/>
    <w:rsid w:val="17B42173"/>
    <w:rsid w:val="17FE23B9"/>
    <w:rsid w:val="18091376"/>
    <w:rsid w:val="18162F07"/>
    <w:rsid w:val="18E33D4A"/>
    <w:rsid w:val="1B405543"/>
    <w:rsid w:val="1CF856D5"/>
    <w:rsid w:val="1FCC6D5B"/>
    <w:rsid w:val="21302CC7"/>
    <w:rsid w:val="2B961752"/>
    <w:rsid w:val="2FB63B0A"/>
    <w:rsid w:val="2FE32045"/>
    <w:rsid w:val="34314D86"/>
    <w:rsid w:val="38D7382E"/>
    <w:rsid w:val="3AAB1602"/>
    <w:rsid w:val="3D51146C"/>
    <w:rsid w:val="3D5B575A"/>
    <w:rsid w:val="3E2909BD"/>
    <w:rsid w:val="3FF02476"/>
    <w:rsid w:val="432F6D0C"/>
    <w:rsid w:val="4512320A"/>
    <w:rsid w:val="48406EC7"/>
    <w:rsid w:val="493740C0"/>
    <w:rsid w:val="506743F5"/>
    <w:rsid w:val="52CD279A"/>
    <w:rsid w:val="57C61013"/>
    <w:rsid w:val="57FE4B1D"/>
    <w:rsid w:val="5BF12034"/>
    <w:rsid w:val="5D517C28"/>
    <w:rsid w:val="5F062528"/>
    <w:rsid w:val="6192742E"/>
    <w:rsid w:val="65CD54E4"/>
    <w:rsid w:val="65F57639"/>
    <w:rsid w:val="70F33B46"/>
    <w:rsid w:val="715D3C1E"/>
    <w:rsid w:val="71AA4047"/>
    <w:rsid w:val="76430ECC"/>
    <w:rsid w:val="77C1721C"/>
    <w:rsid w:val="7A34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60" w:after="360"/>
      <w:outlineLvl w:val="0"/>
    </w:pPr>
    <w:rPr>
      <w:rFonts w:ascii="Times New Roman" w:hAnsi="Times New Roman"/>
      <w:b/>
      <w:bCs/>
      <w:kern w:val="44"/>
      <w:sz w:val="32"/>
      <w:szCs w:val="44"/>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pPr>
    <w:rPr>
      <w:kern w:val="0"/>
      <w:sz w:val="20"/>
      <w:szCs w:val="20"/>
    </w:rPr>
  </w:style>
  <w:style w:type="paragraph" w:styleId="4">
    <w:name w:val="annotation text"/>
    <w:basedOn w:val="1"/>
    <w:link w:val="21"/>
    <w:qFormat/>
    <w:uiPriority w:val="0"/>
    <w:pPr>
      <w:jc w:val="left"/>
    </w:pPr>
  </w:style>
  <w:style w:type="paragraph" w:styleId="5">
    <w:name w:val="Body Text Indent"/>
    <w:basedOn w:val="1"/>
    <w:qFormat/>
    <w:uiPriority w:val="0"/>
    <w:pPr>
      <w:spacing w:after="120"/>
      <w:ind w:left="420" w:leftChars="200"/>
    </w:pPr>
    <w:rPr>
      <w:rFonts w:ascii="Calibri" w:hAnsi="Calibri" w:eastAsia="微软雅黑"/>
    </w:rPr>
  </w:style>
  <w:style w:type="paragraph" w:styleId="6">
    <w:name w:val="Plain Text"/>
    <w:basedOn w:val="1"/>
    <w:qFormat/>
    <w:uiPriority w:val="99"/>
    <w:rPr>
      <w:rFonts w:ascii="宋体" w:hAnsi="Courier New" w:eastAsia="宋体"/>
      <w:szCs w:val="20"/>
    </w:rPr>
  </w:style>
  <w:style w:type="paragraph" w:styleId="7">
    <w:name w:val="Balloon Text"/>
    <w:basedOn w:val="1"/>
    <w:link w:val="20"/>
    <w:qFormat/>
    <w:uiPriority w:val="0"/>
    <w:rPr>
      <w:sz w:val="18"/>
      <w:szCs w:val="18"/>
    </w:rPr>
  </w:style>
  <w:style w:type="paragraph" w:styleId="8">
    <w:name w:val="footer"/>
    <w:basedOn w:val="1"/>
    <w:qFormat/>
    <w:uiPriority w:val="99"/>
    <w:pPr>
      <w:tabs>
        <w:tab w:val="center" w:pos="4153"/>
        <w:tab w:val="right" w:pos="8306"/>
      </w:tabs>
      <w:snapToGrid w:val="0"/>
      <w:jc w:val="left"/>
    </w:pPr>
    <w:rPr>
      <w:kern w:val="0"/>
      <w:sz w:val="18"/>
      <w:szCs w:val="20"/>
    </w:rPr>
  </w:style>
  <w:style w:type="paragraph" w:styleId="9">
    <w:name w:val="header"/>
    <w:basedOn w:val="1"/>
    <w:link w:val="24"/>
    <w:qFormat/>
    <w:uiPriority w:val="0"/>
    <w:pP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4"/>
    <w:next w:val="4"/>
    <w:link w:val="22"/>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0"/>
    <w:rPr>
      <w:b/>
    </w:rPr>
  </w:style>
  <w:style w:type="character" w:styleId="16">
    <w:name w:val="annotation reference"/>
    <w:basedOn w:val="14"/>
    <w:qFormat/>
    <w:uiPriority w:val="0"/>
    <w:rPr>
      <w:sz w:val="21"/>
      <w:szCs w:val="21"/>
    </w:rPr>
  </w:style>
  <w:style w:type="paragraph" w:styleId="17">
    <w:name w:val="List Paragraph"/>
    <w:basedOn w:val="1"/>
    <w:qFormat/>
    <w:uiPriority w:val="34"/>
    <w:pPr>
      <w:ind w:firstLine="200" w:firstLineChars="200"/>
    </w:pPr>
  </w:style>
  <w:style w:type="paragraph" w:customStyle="1" w:styleId="18">
    <w:name w:val="Fließtext"/>
    <w:basedOn w:val="1"/>
    <w:qFormat/>
    <w:uiPriority w:val="0"/>
    <w:pPr>
      <w:overflowPunct w:val="0"/>
      <w:autoSpaceDE w:val="0"/>
      <w:autoSpaceDN w:val="0"/>
      <w:adjustRightInd w:val="0"/>
      <w:textAlignment w:val="baseline"/>
    </w:pPr>
    <w:rPr>
      <w:rFonts w:eastAsia="仿宋_GB2312" w:cs="黑体"/>
      <w:kern w:val="28"/>
      <w:szCs w:val="20"/>
    </w:rPr>
  </w:style>
  <w:style w:type="paragraph" w:customStyle="1" w:styleId="19">
    <w:name w:val="样式3"/>
    <w:basedOn w:val="6"/>
    <w:qFormat/>
    <w:uiPriority w:val="0"/>
    <w:pPr>
      <w:spacing w:line="240" w:lineRule="atLeast"/>
      <w:outlineLvl w:val="0"/>
    </w:pPr>
    <w:rPr>
      <w:sz w:val="28"/>
    </w:rPr>
  </w:style>
  <w:style w:type="character" w:customStyle="1" w:styleId="20">
    <w:name w:val="批注框文本 字符"/>
    <w:basedOn w:val="14"/>
    <w:link w:val="7"/>
    <w:qFormat/>
    <w:uiPriority w:val="0"/>
    <w:rPr>
      <w:rFonts w:asciiTheme="minorHAnsi" w:hAnsiTheme="minorHAnsi" w:eastAsiaTheme="minorEastAsia" w:cstheme="minorBidi"/>
      <w:kern w:val="2"/>
      <w:sz w:val="18"/>
      <w:szCs w:val="18"/>
    </w:rPr>
  </w:style>
  <w:style w:type="character" w:customStyle="1" w:styleId="21">
    <w:name w:val="批注文字 字符"/>
    <w:basedOn w:val="14"/>
    <w:link w:val="4"/>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11"/>
    <w:qFormat/>
    <w:uiPriority w:val="0"/>
    <w:rPr>
      <w:rFonts w:asciiTheme="minorHAnsi" w:hAnsiTheme="minorHAnsi" w:eastAsiaTheme="minorEastAsia" w:cstheme="minorBidi"/>
      <w:b/>
      <w:bCs/>
      <w:kern w:val="2"/>
      <w:sz w:val="21"/>
      <w:szCs w:val="24"/>
    </w:rPr>
  </w:style>
  <w:style w:type="paragraph" w:customStyle="1" w:styleId="23">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4">
    <w:name w:val="页眉 字符"/>
    <w:basedOn w:val="14"/>
    <w:link w:val="9"/>
    <w:qFormat/>
    <w:uiPriority w:val="0"/>
    <w:rPr>
      <w:rFonts w:asciiTheme="minorHAnsi" w:hAnsiTheme="minorHAnsi" w:eastAsiaTheme="minorEastAsia" w:cstheme="minorBidi"/>
      <w:kern w:val="2"/>
      <w:sz w:val="18"/>
      <w:szCs w:val="18"/>
    </w:rPr>
  </w:style>
  <w:style w:type="paragraph" w:customStyle="1" w:styleId="25">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6E49D-D9E0-4861-8313-145F52D83340}">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3125</Words>
  <Characters>17817</Characters>
  <Lines>148</Lines>
  <Paragraphs>41</Paragraphs>
  <TotalTime>11</TotalTime>
  <ScaleCrop>false</ScaleCrop>
  <LinksUpToDate>false</LinksUpToDate>
  <CharactersWithSpaces>20901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2024-04-03T01:23:00Z</dcterms:created>
  <dc:creator>h</dc:creator>
  <cp:lastModifiedBy>Administrator</cp:lastModifiedBy>
  <dcterms:modified xsi:type="dcterms:W3CDTF">2024-04-03T06:20:33Z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EED1B487CE3743FBBD71D5E463AF5B01_13</vt:lpwstr>
  </property>
</Properties>
</file>